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25" w:rsidRPr="00D87275" w:rsidRDefault="00666FA2">
      <w:pPr>
        <w:ind w:firstLine="720"/>
        <w:textAlignment w:val="bottom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noProof/>
          <w:lang w:val="en-US" w:eastAsia="en-US"/>
        </w:rPr>
        <w:drawing>
          <wp:inline distT="0" distB="0" distL="0" distR="0" wp14:anchorId="39D81272" wp14:editId="314882EC">
            <wp:extent cx="2066925" cy="647700"/>
            <wp:effectExtent l="0" t="0" r="9525" b="0"/>
            <wp:docPr id="1" name="Image 1" descr="http://media.renault.com/images/generic/header/Renault_PressRelease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renault.com/images/generic/header/Renault_PressReleaseHeader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EDB" w:rsidRPr="00D87275">
        <w:rPr>
          <w:rStyle w:val="releasetitle1"/>
          <w:rFonts w:eastAsia="Times New Roman"/>
          <w:lang w:val="en-US"/>
        </w:rPr>
        <w:t>Press release</w:t>
      </w:r>
    </w:p>
    <w:p w:rsidR="00227925" w:rsidRPr="00D87275" w:rsidRDefault="00501A5F" w:rsidP="00501A5F">
      <w:pPr>
        <w:jc w:val="right"/>
        <w:textAlignment w:val="top"/>
        <w:divId w:val="2044283574"/>
        <w:rPr>
          <w:rFonts w:ascii="Arial" w:eastAsia="Times New Roman" w:hAnsi="Arial" w:cs="Arial"/>
          <w:lang w:val="en-US"/>
        </w:rPr>
      </w:pPr>
      <w:r w:rsidRPr="00D87275">
        <w:rPr>
          <w:rStyle w:val="releasedate1"/>
          <w:rFonts w:eastAsia="Times New Roman"/>
          <w:lang w:val="en-US"/>
        </w:rPr>
        <w:t>February 12, 2015</w:t>
      </w:r>
    </w:p>
    <w:p w:rsidR="00227925" w:rsidRPr="00D87275" w:rsidRDefault="00F83337" w:rsidP="00F83337">
      <w:pPr>
        <w:pStyle w:val="Titre1"/>
        <w:spacing w:before="720" w:beforeAutospacing="0" w:after="720" w:afterAutospacing="0"/>
        <w:jc w:val="center"/>
        <w:textAlignment w:val="top"/>
        <w:divId w:val="875124400"/>
        <w:rPr>
          <w:rFonts w:eastAsia="Times New Roman"/>
          <w:sz w:val="32"/>
          <w:szCs w:val="32"/>
          <w:lang w:val="en-US"/>
        </w:rPr>
      </w:pPr>
      <w:r w:rsidRPr="00D87275">
        <w:rPr>
          <w:rFonts w:eastAsia="Times New Roman"/>
          <w:sz w:val="32"/>
          <w:szCs w:val="32"/>
          <w:lang w:val="en-US"/>
        </w:rPr>
        <w:t>2014 FINANCIAL RESULTS</w:t>
      </w:r>
    </w:p>
    <w:p w:rsidR="004B1ADF" w:rsidRPr="00D87275" w:rsidRDefault="005077D6" w:rsidP="0023256A">
      <w:pPr>
        <w:pStyle w:val="Titre1"/>
        <w:spacing w:before="0" w:beforeAutospacing="0"/>
        <w:textAlignment w:val="top"/>
        <w:divId w:val="953825124"/>
        <w:rPr>
          <w:rFonts w:eastAsia="Times New Roman"/>
          <w:caps w:val="0"/>
          <w:color w:val="FF0000"/>
          <w:sz w:val="32"/>
          <w:szCs w:val="32"/>
          <w:lang w:val="en-US"/>
        </w:rPr>
      </w:pPr>
      <w:r w:rsidRPr="00D87275">
        <w:rPr>
          <w:rFonts w:eastAsia="Times New Roman"/>
          <w:caps w:val="0"/>
          <w:sz w:val="32"/>
          <w:szCs w:val="32"/>
          <w:lang w:val="en-US"/>
        </w:rPr>
        <w:t>Renault me</w:t>
      </w:r>
      <w:r w:rsidR="0023256A">
        <w:rPr>
          <w:rFonts w:eastAsia="Times New Roman"/>
          <w:caps w:val="0"/>
          <w:sz w:val="32"/>
          <w:szCs w:val="32"/>
          <w:lang w:val="en-US"/>
        </w:rPr>
        <w:t>e</w:t>
      </w:r>
      <w:r w:rsidRPr="00D87275">
        <w:rPr>
          <w:rFonts w:eastAsia="Times New Roman"/>
          <w:caps w:val="0"/>
          <w:sz w:val="32"/>
          <w:szCs w:val="32"/>
          <w:lang w:val="en-US"/>
        </w:rPr>
        <w:t>t</w:t>
      </w:r>
      <w:r w:rsidR="0023256A">
        <w:rPr>
          <w:rFonts w:eastAsia="Times New Roman"/>
          <w:caps w:val="0"/>
          <w:sz w:val="32"/>
          <w:szCs w:val="32"/>
          <w:lang w:val="en-US"/>
        </w:rPr>
        <w:t>s</w:t>
      </w:r>
      <w:r w:rsidR="00666FA2">
        <w:rPr>
          <w:rFonts w:eastAsia="Times New Roman"/>
          <w:caps w:val="0"/>
          <w:sz w:val="32"/>
          <w:szCs w:val="32"/>
          <w:lang w:val="en-US"/>
        </w:rPr>
        <w:t xml:space="preserve"> its</w:t>
      </w:r>
      <w:r w:rsidR="002124BA">
        <w:rPr>
          <w:rFonts w:eastAsia="Times New Roman"/>
          <w:caps w:val="0"/>
          <w:sz w:val="32"/>
          <w:szCs w:val="32"/>
          <w:lang w:val="en-US"/>
        </w:rPr>
        <w:t xml:space="preserve"> full-year</w:t>
      </w:r>
      <w:r w:rsidR="00666FA2">
        <w:rPr>
          <w:rFonts w:eastAsia="Times New Roman"/>
          <w:caps w:val="0"/>
          <w:sz w:val="32"/>
          <w:szCs w:val="32"/>
          <w:lang w:val="en-US"/>
        </w:rPr>
        <w:t xml:space="preserve"> guidance</w:t>
      </w:r>
    </w:p>
    <w:p w:rsidR="00F83337" w:rsidRPr="00D87275" w:rsidRDefault="009A2BFD" w:rsidP="009A2BFD">
      <w:pPr>
        <w:numPr>
          <w:ilvl w:val="0"/>
          <w:numId w:val="2"/>
        </w:numPr>
        <w:spacing w:line="320" w:lineRule="exact"/>
        <w:jc w:val="both"/>
        <w:divId w:val="953825124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New registrations up 3.2</w:t>
      </w:r>
      <w:r w:rsidR="00F83337" w:rsidRPr="00D87275">
        <w:rPr>
          <w:rFonts w:ascii="Arial" w:hAnsi="Arial" w:cs="Arial"/>
          <w:b/>
          <w:bCs/>
          <w:sz w:val="20"/>
          <w:lang w:val="en-US"/>
        </w:rPr>
        <w:t xml:space="preserve">% to </w:t>
      </w:r>
      <w:r>
        <w:rPr>
          <w:rFonts w:ascii="Arial" w:hAnsi="Arial" w:cs="Arial"/>
          <w:b/>
          <w:bCs/>
          <w:sz w:val="20"/>
          <w:lang w:val="en-US"/>
        </w:rPr>
        <w:t>2.7</w:t>
      </w:r>
      <w:r w:rsidR="00F83337" w:rsidRPr="00D87275">
        <w:rPr>
          <w:rFonts w:ascii="Arial" w:hAnsi="Arial" w:cs="Arial"/>
          <w:b/>
          <w:bCs/>
          <w:sz w:val="20"/>
          <w:lang w:val="en-US"/>
        </w:rPr>
        <w:t xml:space="preserve"> million units</w:t>
      </w:r>
    </w:p>
    <w:p w:rsidR="00F83337" w:rsidRPr="00D87275" w:rsidRDefault="00F83337" w:rsidP="009A2BFD">
      <w:pPr>
        <w:numPr>
          <w:ilvl w:val="0"/>
          <w:numId w:val="2"/>
        </w:numPr>
        <w:spacing w:line="320" w:lineRule="exact"/>
        <w:jc w:val="both"/>
        <w:divId w:val="953825124"/>
        <w:rPr>
          <w:rFonts w:ascii="Arial" w:hAnsi="Arial" w:cs="Arial"/>
          <w:b/>
          <w:bCs/>
          <w:sz w:val="20"/>
          <w:lang w:val="en-US"/>
        </w:rPr>
      </w:pPr>
      <w:r w:rsidRPr="00D87275">
        <w:rPr>
          <w:rFonts w:ascii="Arial" w:hAnsi="Arial" w:cs="Arial"/>
          <w:b/>
          <w:bCs/>
          <w:sz w:val="20"/>
          <w:lang w:val="en-US"/>
        </w:rPr>
        <w:t>Group revenue</w:t>
      </w:r>
      <w:r w:rsidR="009A2BFD">
        <w:rPr>
          <w:rFonts w:ascii="Arial" w:hAnsi="Arial" w:cs="Arial"/>
          <w:b/>
          <w:bCs/>
          <w:sz w:val="20"/>
          <w:lang w:val="en-US"/>
        </w:rPr>
        <w:t>s</w:t>
      </w:r>
      <w:r w:rsidR="00F57B59">
        <w:rPr>
          <w:rFonts w:ascii="Arial" w:hAnsi="Arial" w:cs="Arial"/>
          <w:b/>
          <w:bCs/>
          <w:sz w:val="20"/>
          <w:lang w:val="en-US"/>
        </w:rPr>
        <w:t xml:space="preserve">: </w:t>
      </w:r>
      <w:r w:rsidR="00734DB7" w:rsidRPr="00D87275">
        <w:rPr>
          <w:rFonts w:ascii="Arial" w:hAnsi="Arial" w:cs="Arial"/>
          <w:b/>
          <w:bCs/>
          <w:sz w:val="20"/>
          <w:lang w:val="en-US"/>
        </w:rPr>
        <w:t>€</w:t>
      </w:r>
      <w:r w:rsidR="009A2BFD">
        <w:rPr>
          <w:rFonts w:ascii="Arial" w:hAnsi="Arial" w:cs="Arial"/>
          <w:b/>
          <w:bCs/>
          <w:sz w:val="20"/>
          <w:lang w:val="en-US"/>
        </w:rPr>
        <w:t>41,055</w:t>
      </w:r>
      <w:r w:rsidRPr="00D87275">
        <w:rPr>
          <w:rFonts w:ascii="Arial" w:hAnsi="Arial" w:cs="Arial"/>
          <w:b/>
          <w:bCs/>
          <w:sz w:val="20"/>
          <w:lang w:val="en-US"/>
        </w:rPr>
        <w:t xml:space="preserve"> million (+</w:t>
      </w:r>
      <w:r w:rsidR="009A2BFD">
        <w:rPr>
          <w:rFonts w:ascii="Arial" w:hAnsi="Arial" w:cs="Arial"/>
          <w:b/>
          <w:bCs/>
          <w:sz w:val="20"/>
          <w:lang w:val="en-US"/>
        </w:rPr>
        <w:t>0</w:t>
      </w:r>
      <w:r w:rsidRPr="00D87275">
        <w:rPr>
          <w:rFonts w:ascii="Arial" w:hAnsi="Arial" w:cs="Arial"/>
          <w:b/>
          <w:bCs/>
          <w:sz w:val="20"/>
          <w:lang w:val="en-US"/>
        </w:rPr>
        <w:t>.</w:t>
      </w:r>
      <w:r w:rsidR="009A2BFD">
        <w:rPr>
          <w:rFonts w:ascii="Arial" w:hAnsi="Arial" w:cs="Arial"/>
          <w:b/>
          <w:bCs/>
          <w:sz w:val="20"/>
          <w:lang w:val="en-US"/>
        </w:rPr>
        <w:t>3</w:t>
      </w:r>
      <w:r w:rsidRPr="00D87275">
        <w:rPr>
          <w:rFonts w:ascii="Arial" w:hAnsi="Arial" w:cs="Arial"/>
          <w:b/>
          <w:bCs/>
          <w:sz w:val="20"/>
          <w:lang w:val="en-US"/>
        </w:rPr>
        <w:t xml:space="preserve">%). Excluding </w:t>
      </w:r>
      <w:r w:rsidR="002124BA">
        <w:rPr>
          <w:rFonts w:ascii="Arial" w:hAnsi="Arial" w:cs="Arial"/>
          <w:b/>
          <w:bCs/>
          <w:sz w:val="20"/>
          <w:lang w:val="en-US"/>
        </w:rPr>
        <w:t xml:space="preserve">foreign </w:t>
      </w:r>
      <w:r w:rsidRPr="00D87275">
        <w:rPr>
          <w:rFonts w:ascii="Arial" w:hAnsi="Arial" w:cs="Arial"/>
          <w:b/>
          <w:bCs/>
          <w:sz w:val="20"/>
          <w:lang w:val="en-US"/>
        </w:rPr>
        <w:t>exc</w:t>
      </w:r>
      <w:r w:rsidR="00F57B59">
        <w:rPr>
          <w:rFonts w:ascii="Arial" w:hAnsi="Arial" w:cs="Arial"/>
          <w:b/>
          <w:bCs/>
          <w:sz w:val="20"/>
          <w:lang w:val="en-US"/>
        </w:rPr>
        <w:t>hange rate effect, +</w:t>
      </w:r>
      <w:r w:rsidR="009A2BFD">
        <w:rPr>
          <w:rFonts w:ascii="Arial" w:hAnsi="Arial" w:cs="Arial"/>
          <w:b/>
          <w:bCs/>
          <w:sz w:val="20"/>
          <w:lang w:val="en-US"/>
        </w:rPr>
        <w:t>3.1</w:t>
      </w:r>
      <w:r w:rsidRPr="00D87275">
        <w:rPr>
          <w:rFonts w:ascii="Arial" w:hAnsi="Arial" w:cs="Arial"/>
          <w:b/>
          <w:bCs/>
          <w:sz w:val="20"/>
          <w:lang w:val="en-US"/>
        </w:rPr>
        <w:t>%</w:t>
      </w:r>
    </w:p>
    <w:p w:rsidR="00C662F7" w:rsidRPr="00D87275" w:rsidRDefault="009E6CAD" w:rsidP="0023256A">
      <w:pPr>
        <w:numPr>
          <w:ilvl w:val="0"/>
          <w:numId w:val="2"/>
        </w:numPr>
        <w:spacing w:line="320" w:lineRule="exact"/>
        <w:jc w:val="both"/>
        <w:divId w:val="953825124"/>
        <w:rPr>
          <w:rFonts w:ascii="Arial" w:hAnsi="Arial" w:cs="Arial"/>
          <w:b/>
          <w:bCs/>
          <w:sz w:val="20"/>
          <w:lang w:val="en-US"/>
        </w:rPr>
      </w:pPr>
      <w:r w:rsidRPr="00D87275">
        <w:rPr>
          <w:rFonts w:ascii="Arial" w:hAnsi="Arial" w:cs="Arial"/>
          <w:b/>
          <w:bCs/>
          <w:sz w:val="20"/>
          <w:lang w:val="en-US"/>
        </w:rPr>
        <w:t xml:space="preserve">Group operating </w:t>
      </w:r>
      <w:r w:rsidR="0023256A">
        <w:rPr>
          <w:rFonts w:ascii="Arial" w:hAnsi="Arial" w:cs="Arial"/>
          <w:b/>
          <w:bCs/>
          <w:sz w:val="20"/>
          <w:lang w:val="en-US"/>
        </w:rPr>
        <w:t>profit</w:t>
      </w:r>
      <w:r w:rsidR="00F57B59">
        <w:rPr>
          <w:rFonts w:ascii="Arial" w:hAnsi="Arial" w:cs="Arial"/>
          <w:b/>
          <w:bCs/>
          <w:sz w:val="20"/>
          <w:lang w:val="en-US"/>
        </w:rPr>
        <w:t xml:space="preserve">: </w:t>
      </w:r>
      <w:r w:rsidR="00734DB7" w:rsidRPr="00D87275">
        <w:rPr>
          <w:rFonts w:ascii="Arial" w:hAnsi="Arial" w:cs="Arial"/>
          <w:b/>
          <w:bCs/>
          <w:sz w:val="20"/>
          <w:lang w:val="en-US"/>
        </w:rPr>
        <w:t>€</w:t>
      </w:r>
      <w:r w:rsidR="009A2BFD">
        <w:rPr>
          <w:rFonts w:ascii="Arial" w:hAnsi="Arial" w:cs="Arial"/>
          <w:b/>
          <w:bCs/>
          <w:sz w:val="20"/>
          <w:lang w:val="en-US"/>
        </w:rPr>
        <w:t>1</w:t>
      </w:r>
      <w:r w:rsidRPr="00D87275">
        <w:rPr>
          <w:rFonts w:ascii="Arial" w:hAnsi="Arial" w:cs="Arial"/>
          <w:b/>
          <w:bCs/>
          <w:sz w:val="20"/>
          <w:lang w:val="en-US"/>
        </w:rPr>
        <w:t>,</w:t>
      </w:r>
      <w:r w:rsidR="002124BA">
        <w:rPr>
          <w:rFonts w:ascii="Arial" w:hAnsi="Arial" w:cs="Arial"/>
          <w:b/>
          <w:bCs/>
          <w:sz w:val="20"/>
          <w:lang w:val="en-US"/>
        </w:rPr>
        <w:t>609 million, or</w:t>
      </w:r>
      <w:r w:rsidR="009A2BFD">
        <w:rPr>
          <w:rFonts w:ascii="Arial" w:hAnsi="Arial" w:cs="Arial"/>
          <w:b/>
          <w:bCs/>
          <w:sz w:val="20"/>
          <w:lang w:val="en-US"/>
        </w:rPr>
        <w:t xml:space="preserve"> 3.9</w:t>
      </w:r>
      <w:r w:rsidRPr="00D87275">
        <w:rPr>
          <w:rFonts w:ascii="Arial" w:hAnsi="Arial" w:cs="Arial"/>
          <w:b/>
          <w:bCs/>
          <w:sz w:val="20"/>
          <w:lang w:val="en-US"/>
        </w:rPr>
        <w:t>% of revenue</w:t>
      </w:r>
      <w:r w:rsidR="0023256A">
        <w:rPr>
          <w:rFonts w:ascii="Arial" w:hAnsi="Arial" w:cs="Arial"/>
          <w:b/>
          <w:bCs/>
          <w:sz w:val="20"/>
          <w:lang w:val="en-US"/>
        </w:rPr>
        <w:t>s</w:t>
      </w:r>
      <w:r w:rsidR="002124BA">
        <w:rPr>
          <w:rFonts w:ascii="Arial" w:hAnsi="Arial" w:cs="Arial"/>
          <w:b/>
          <w:bCs/>
          <w:sz w:val="20"/>
          <w:lang w:val="en-US"/>
        </w:rPr>
        <w:t>, compared to</w:t>
      </w:r>
      <w:r w:rsidRPr="00D87275">
        <w:rPr>
          <w:rFonts w:ascii="Arial" w:hAnsi="Arial" w:cs="Arial"/>
          <w:b/>
          <w:bCs/>
          <w:sz w:val="20"/>
          <w:lang w:val="en-US"/>
        </w:rPr>
        <w:t xml:space="preserve"> </w:t>
      </w:r>
      <w:r w:rsidR="00734DB7" w:rsidRPr="00D87275">
        <w:rPr>
          <w:rFonts w:ascii="Arial" w:hAnsi="Arial" w:cs="Arial"/>
          <w:b/>
          <w:bCs/>
          <w:sz w:val="20"/>
          <w:lang w:val="en-US"/>
        </w:rPr>
        <w:t>€</w:t>
      </w:r>
      <w:r w:rsidR="009A2BFD">
        <w:rPr>
          <w:rFonts w:ascii="Arial" w:hAnsi="Arial" w:cs="Arial"/>
          <w:b/>
          <w:bCs/>
          <w:sz w:val="20"/>
          <w:lang w:val="en-US"/>
        </w:rPr>
        <w:t>1,242 million and 3</w:t>
      </w:r>
      <w:r w:rsidRPr="00D87275">
        <w:rPr>
          <w:rFonts w:ascii="Arial" w:hAnsi="Arial" w:cs="Arial"/>
          <w:b/>
          <w:bCs/>
          <w:sz w:val="20"/>
          <w:lang w:val="en-US"/>
        </w:rPr>
        <w:t>.</w:t>
      </w:r>
      <w:r w:rsidR="009A2BFD">
        <w:rPr>
          <w:rFonts w:ascii="Arial" w:hAnsi="Arial" w:cs="Arial"/>
          <w:b/>
          <w:bCs/>
          <w:sz w:val="20"/>
          <w:lang w:val="en-US"/>
        </w:rPr>
        <w:t>0</w:t>
      </w:r>
      <w:r w:rsidRPr="00D87275">
        <w:rPr>
          <w:rFonts w:ascii="Arial" w:hAnsi="Arial" w:cs="Arial"/>
          <w:b/>
          <w:bCs/>
          <w:sz w:val="20"/>
          <w:lang w:val="en-US"/>
        </w:rPr>
        <w:t>% in 2013</w:t>
      </w:r>
    </w:p>
    <w:p w:rsidR="00F83337" w:rsidRDefault="00E23360" w:rsidP="0023256A">
      <w:pPr>
        <w:numPr>
          <w:ilvl w:val="0"/>
          <w:numId w:val="2"/>
        </w:numPr>
        <w:spacing w:line="320" w:lineRule="exact"/>
        <w:jc w:val="both"/>
        <w:divId w:val="953825124"/>
        <w:rPr>
          <w:rFonts w:ascii="Arial" w:hAnsi="Arial" w:cs="Arial"/>
          <w:b/>
          <w:bCs/>
          <w:sz w:val="20"/>
          <w:lang w:val="en-US"/>
        </w:rPr>
      </w:pPr>
      <w:r w:rsidRPr="00D87275">
        <w:rPr>
          <w:rFonts w:ascii="Arial" w:hAnsi="Arial" w:cs="Arial"/>
          <w:b/>
          <w:bCs/>
          <w:sz w:val="20"/>
          <w:lang w:val="en-US"/>
        </w:rPr>
        <w:t xml:space="preserve">Automotive operating </w:t>
      </w:r>
      <w:r w:rsidR="00F57B59">
        <w:rPr>
          <w:rFonts w:ascii="Arial" w:hAnsi="Arial" w:cs="Arial"/>
          <w:b/>
          <w:bCs/>
          <w:sz w:val="20"/>
          <w:lang w:val="en-US"/>
        </w:rPr>
        <w:t xml:space="preserve">profit: </w:t>
      </w:r>
      <w:r w:rsidR="00734DB7" w:rsidRPr="00D87275">
        <w:rPr>
          <w:rFonts w:ascii="Arial" w:hAnsi="Arial" w:cs="Arial"/>
          <w:b/>
          <w:bCs/>
          <w:sz w:val="20"/>
          <w:lang w:val="en-US"/>
        </w:rPr>
        <w:t>€</w:t>
      </w:r>
      <w:r w:rsidR="009A2BFD">
        <w:rPr>
          <w:rFonts w:ascii="Arial" w:hAnsi="Arial" w:cs="Arial"/>
          <w:b/>
          <w:bCs/>
          <w:sz w:val="20"/>
          <w:lang w:val="en-US"/>
        </w:rPr>
        <w:t>858</w:t>
      </w:r>
      <w:r w:rsidR="002124BA">
        <w:rPr>
          <w:rFonts w:ascii="Arial" w:hAnsi="Arial" w:cs="Arial"/>
          <w:b/>
          <w:bCs/>
          <w:sz w:val="20"/>
          <w:lang w:val="en-US"/>
        </w:rPr>
        <w:t xml:space="preserve"> million, compared to</w:t>
      </w:r>
      <w:r w:rsidRPr="00D87275">
        <w:rPr>
          <w:rFonts w:ascii="Arial" w:hAnsi="Arial" w:cs="Arial"/>
          <w:b/>
          <w:bCs/>
          <w:sz w:val="20"/>
          <w:lang w:val="en-US"/>
        </w:rPr>
        <w:t xml:space="preserve"> </w:t>
      </w:r>
      <w:r w:rsidR="00734DB7" w:rsidRPr="00D87275">
        <w:rPr>
          <w:rFonts w:ascii="Arial" w:hAnsi="Arial" w:cs="Arial"/>
          <w:b/>
          <w:bCs/>
          <w:sz w:val="20"/>
          <w:lang w:val="en-US"/>
        </w:rPr>
        <w:t>€</w:t>
      </w:r>
      <w:r w:rsidR="009A2BFD">
        <w:rPr>
          <w:rFonts w:ascii="Arial" w:hAnsi="Arial" w:cs="Arial"/>
          <w:b/>
          <w:bCs/>
          <w:sz w:val="20"/>
          <w:lang w:val="en-US"/>
        </w:rPr>
        <w:t>495 million in 2013 (2.2</w:t>
      </w:r>
      <w:r w:rsidR="002124BA">
        <w:rPr>
          <w:rFonts w:ascii="Arial" w:hAnsi="Arial" w:cs="Arial"/>
          <w:b/>
          <w:bCs/>
          <w:sz w:val="20"/>
          <w:lang w:val="en-US"/>
        </w:rPr>
        <w:t>% vs</w:t>
      </w:r>
      <w:r w:rsidRPr="00D87275">
        <w:rPr>
          <w:rFonts w:ascii="Arial" w:hAnsi="Arial" w:cs="Arial"/>
          <w:b/>
          <w:bCs/>
          <w:sz w:val="20"/>
          <w:lang w:val="en-US"/>
        </w:rPr>
        <w:t xml:space="preserve"> </w:t>
      </w:r>
      <w:r w:rsidR="009A2BFD">
        <w:rPr>
          <w:rFonts w:ascii="Arial" w:hAnsi="Arial" w:cs="Arial"/>
          <w:b/>
          <w:bCs/>
          <w:sz w:val="20"/>
          <w:lang w:val="en-US"/>
        </w:rPr>
        <w:t>1</w:t>
      </w:r>
      <w:r w:rsidRPr="00D87275">
        <w:rPr>
          <w:rFonts w:ascii="Arial" w:hAnsi="Arial" w:cs="Arial"/>
          <w:b/>
          <w:bCs/>
          <w:sz w:val="20"/>
          <w:lang w:val="en-US"/>
        </w:rPr>
        <w:t>.</w:t>
      </w:r>
      <w:r w:rsidR="009A2BFD">
        <w:rPr>
          <w:rFonts w:ascii="Arial" w:hAnsi="Arial" w:cs="Arial"/>
          <w:b/>
          <w:bCs/>
          <w:sz w:val="20"/>
          <w:lang w:val="en-US"/>
        </w:rPr>
        <w:t>3</w:t>
      </w:r>
      <w:r w:rsidRPr="00D87275">
        <w:rPr>
          <w:rFonts w:ascii="Arial" w:hAnsi="Arial" w:cs="Arial"/>
          <w:b/>
          <w:bCs/>
          <w:sz w:val="20"/>
          <w:lang w:val="en-US"/>
        </w:rPr>
        <w:t>%)</w:t>
      </w:r>
    </w:p>
    <w:p w:rsidR="002C49F4" w:rsidRPr="00D87275" w:rsidRDefault="005562F4" w:rsidP="0023256A">
      <w:pPr>
        <w:numPr>
          <w:ilvl w:val="0"/>
          <w:numId w:val="2"/>
        </w:numPr>
        <w:spacing w:line="320" w:lineRule="exact"/>
        <w:jc w:val="both"/>
        <w:divId w:val="953825124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Group o</w:t>
      </w:r>
      <w:r w:rsidR="002C49F4">
        <w:rPr>
          <w:rFonts w:ascii="Arial" w:hAnsi="Arial" w:cs="Arial"/>
          <w:b/>
          <w:bCs/>
          <w:sz w:val="20"/>
          <w:lang w:val="en-US"/>
        </w:rPr>
        <w:t>perating</w:t>
      </w:r>
      <w:r w:rsidR="00F26D10">
        <w:rPr>
          <w:rFonts w:ascii="Arial" w:hAnsi="Arial" w:cs="Arial"/>
          <w:b/>
          <w:bCs/>
          <w:sz w:val="20"/>
          <w:lang w:val="en-US"/>
        </w:rPr>
        <w:t xml:space="preserve"> income: €1,105 million versus minus </w:t>
      </w:r>
      <w:r w:rsidR="002C49F4">
        <w:rPr>
          <w:rFonts w:ascii="Arial" w:hAnsi="Arial" w:cs="Arial"/>
          <w:b/>
          <w:bCs/>
          <w:sz w:val="20"/>
          <w:lang w:val="en-US"/>
        </w:rPr>
        <w:t>€34 million</w:t>
      </w:r>
    </w:p>
    <w:p w:rsidR="006751F2" w:rsidRPr="00D87275" w:rsidRDefault="00F720ED" w:rsidP="009A2BFD">
      <w:pPr>
        <w:numPr>
          <w:ilvl w:val="0"/>
          <w:numId w:val="2"/>
        </w:numPr>
        <w:spacing w:line="320" w:lineRule="exact"/>
        <w:jc w:val="both"/>
        <w:divId w:val="953825124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Net income:</w:t>
      </w:r>
      <w:r w:rsidR="00571B65" w:rsidRPr="00D87275">
        <w:rPr>
          <w:rFonts w:ascii="Arial" w:hAnsi="Arial" w:cs="Arial"/>
          <w:b/>
          <w:bCs/>
          <w:sz w:val="20"/>
          <w:lang w:val="en-US"/>
        </w:rPr>
        <w:t xml:space="preserve"> </w:t>
      </w:r>
      <w:r w:rsidR="00734DB7" w:rsidRPr="00D87275">
        <w:rPr>
          <w:rFonts w:ascii="Arial" w:hAnsi="Arial" w:cs="Arial"/>
          <w:b/>
          <w:bCs/>
          <w:sz w:val="20"/>
          <w:lang w:val="en-US"/>
        </w:rPr>
        <w:t>€</w:t>
      </w:r>
      <w:r w:rsidR="009A2BFD">
        <w:rPr>
          <w:rFonts w:ascii="Arial" w:hAnsi="Arial" w:cs="Arial"/>
          <w:b/>
          <w:bCs/>
          <w:sz w:val="20"/>
          <w:lang w:val="en-US"/>
        </w:rPr>
        <w:t>1,998</w:t>
      </w:r>
      <w:r w:rsidR="002124BA">
        <w:rPr>
          <w:rFonts w:ascii="Arial" w:hAnsi="Arial" w:cs="Arial"/>
          <w:b/>
          <w:bCs/>
          <w:sz w:val="20"/>
          <w:lang w:val="en-US"/>
        </w:rPr>
        <w:t xml:space="preserve"> million versus</w:t>
      </w:r>
      <w:r w:rsidR="00571B65" w:rsidRPr="00D87275">
        <w:rPr>
          <w:rFonts w:ascii="Arial" w:hAnsi="Arial" w:cs="Arial"/>
          <w:b/>
          <w:bCs/>
          <w:sz w:val="20"/>
          <w:lang w:val="en-US"/>
        </w:rPr>
        <w:t xml:space="preserve"> </w:t>
      </w:r>
      <w:r w:rsidR="00734DB7" w:rsidRPr="00D87275">
        <w:rPr>
          <w:rFonts w:ascii="Arial" w:hAnsi="Arial" w:cs="Arial"/>
          <w:b/>
          <w:bCs/>
          <w:sz w:val="20"/>
          <w:lang w:val="en-US"/>
        </w:rPr>
        <w:t>€</w:t>
      </w:r>
      <w:r w:rsidR="009A2BFD">
        <w:rPr>
          <w:rFonts w:ascii="Arial" w:hAnsi="Arial" w:cs="Arial"/>
          <w:b/>
          <w:bCs/>
          <w:sz w:val="20"/>
          <w:lang w:val="en-US"/>
        </w:rPr>
        <w:t>695</w:t>
      </w:r>
      <w:r w:rsidR="00571B65" w:rsidRPr="00D87275">
        <w:rPr>
          <w:rFonts w:ascii="Arial" w:hAnsi="Arial" w:cs="Arial"/>
          <w:b/>
          <w:bCs/>
          <w:sz w:val="20"/>
          <w:lang w:val="en-US"/>
        </w:rPr>
        <w:t xml:space="preserve"> million in 2013</w:t>
      </w:r>
    </w:p>
    <w:p w:rsidR="00F83337" w:rsidRPr="00D87275" w:rsidRDefault="00F83337" w:rsidP="0023256A">
      <w:pPr>
        <w:numPr>
          <w:ilvl w:val="0"/>
          <w:numId w:val="2"/>
        </w:numPr>
        <w:spacing w:line="320" w:lineRule="exact"/>
        <w:jc w:val="both"/>
        <w:divId w:val="953825124"/>
        <w:rPr>
          <w:rFonts w:ascii="Arial" w:hAnsi="Arial" w:cs="Arial"/>
          <w:b/>
          <w:bCs/>
          <w:sz w:val="20"/>
          <w:lang w:val="en-US"/>
        </w:rPr>
      </w:pPr>
      <w:r w:rsidRPr="00D87275">
        <w:rPr>
          <w:rFonts w:ascii="Arial" w:hAnsi="Arial" w:cs="Arial"/>
          <w:b/>
          <w:bCs/>
          <w:sz w:val="20"/>
          <w:lang w:val="en-US"/>
        </w:rPr>
        <w:t xml:space="preserve">Positive </w:t>
      </w:r>
      <w:r w:rsidR="0023256A">
        <w:rPr>
          <w:rFonts w:ascii="Arial" w:hAnsi="Arial" w:cs="Arial"/>
          <w:b/>
          <w:bCs/>
          <w:sz w:val="20"/>
          <w:lang w:val="en-US"/>
        </w:rPr>
        <w:t xml:space="preserve">Automotive operational </w:t>
      </w:r>
      <w:r w:rsidR="00F57B59">
        <w:rPr>
          <w:rFonts w:ascii="Arial" w:hAnsi="Arial" w:cs="Arial"/>
          <w:b/>
          <w:bCs/>
          <w:sz w:val="20"/>
          <w:lang w:val="en-US"/>
        </w:rPr>
        <w:t>free cash flow:</w:t>
      </w:r>
      <w:r w:rsidRPr="00D87275">
        <w:rPr>
          <w:rFonts w:ascii="Arial" w:hAnsi="Arial" w:cs="Arial"/>
          <w:b/>
          <w:bCs/>
          <w:sz w:val="20"/>
          <w:lang w:val="en-US"/>
        </w:rPr>
        <w:t xml:space="preserve"> </w:t>
      </w:r>
      <w:r w:rsidR="00734DB7" w:rsidRPr="00D87275">
        <w:rPr>
          <w:rFonts w:ascii="Arial" w:hAnsi="Arial" w:cs="Arial"/>
          <w:b/>
          <w:bCs/>
          <w:sz w:val="20"/>
          <w:lang w:val="en-US"/>
        </w:rPr>
        <w:t>€</w:t>
      </w:r>
      <w:r w:rsidR="009A2BFD">
        <w:rPr>
          <w:rFonts w:ascii="Arial" w:hAnsi="Arial" w:cs="Arial"/>
          <w:b/>
          <w:bCs/>
          <w:sz w:val="20"/>
          <w:lang w:val="en-US"/>
        </w:rPr>
        <w:t>1</w:t>
      </w:r>
      <w:r w:rsidR="00734DB7" w:rsidRPr="00D87275">
        <w:rPr>
          <w:rFonts w:ascii="Arial" w:hAnsi="Arial" w:cs="Arial"/>
          <w:b/>
          <w:bCs/>
          <w:sz w:val="20"/>
          <w:lang w:val="en-US"/>
        </w:rPr>
        <w:t>,</w:t>
      </w:r>
      <w:r w:rsidR="009A2BFD">
        <w:rPr>
          <w:rFonts w:ascii="Arial" w:hAnsi="Arial" w:cs="Arial"/>
          <w:b/>
          <w:bCs/>
          <w:sz w:val="20"/>
          <w:lang w:val="en-US"/>
        </w:rPr>
        <w:t>083</w:t>
      </w:r>
      <w:r w:rsidR="00734DB7" w:rsidRPr="00D87275">
        <w:rPr>
          <w:rFonts w:ascii="Arial" w:hAnsi="Arial" w:cs="Arial"/>
          <w:b/>
          <w:bCs/>
          <w:sz w:val="20"/>
          <w:lang w:val="en-US"/>
        </w:rPr>
        <w:t xml:space="preserve"> million</w:t>
      </w:r>
    </w:p>
    <w:p w:rsidR="009123D8" w:rsidRPr="00D87275" w:rsidRDefault="009123D8" w:rsidP="009123D8">
      <w:pPr>
        <w:spacing w:line="320" w:lineRule="exact"/>
        <w:ind w:left="720"/>
        <w:jc w:val="both"/>
        <w:divId w:val="953825124"/>
        <w:rPr>
          <w:rFonts w:ascii="Arial" w:hAnsi="Arial" w:cs="Arial"/>
          <w:b/>
          <w:bCs/>
          <w:sz w:val="20"/>
          <w:lang w:val="en-US"/>
        </w:rPr>
      </w:pPr>
    </w:p>
    <w:p w:rsidR="005D1948" w:rsidRPr="00D87275" w:rsidRDefault="00D87275" w:rsidP="005F5CE8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b/>
          <w:bCs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bCs/>
          <w:sz w:val="19"/>
          <w:szCs w:val="19"/>
          <w:lang w:val="en-US"/>
        </w:rPr>
        <w:t>“</w:t>
      </w:r>
      <w:r w:rsidR="00F5090E">
        <w:rPr>
          <w:rFonts w:ascii="Arial" w:eastAsia="Times New Roman" w:hAnsi="Arial" w:cs="Arial"/>
          <w:b/>
          <w:bCs/>
          <w:sz w:val="19"/>
          <w:szCs w:val="19"/>
          <w:lang w:val="en-US"/>
        </w:rPr>
        <w:t>We m</w:t>
      </w:r>
      <w:r w:rsidR="00CE7E12" w:rsidRPr="00D87275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et all the </w:t>
      </w:r>
      <w:r w:rsidR="000F2555">
        <w:rPr>
          <w:rFonts w:ascii="Arial" w:eastAsia="Times New Roman" w:hAnsi="Arial" w:cs="Arial"/>
          <w:b/>
          <w:bCs/>
          <w:sz w:val="19"/>
          <w:szCs w:val="19"/>
          <w:lang w:val="en-US"/>
        </w:rPr>
        <w:t>objectives</w:t>
      </w:r>
      <w:r w:rsidR="00F5090E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 announced</w:t>
      </w:r>
      <w:r w:rsidR="002124BA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 for 2014. This milestone positions us on track</w:t>
      </w:r>
      <w:r w:rsidR="005F5CE8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 to achieve </w:t>
      </w:r>
      <w:r w:rsidR="00CE7E12" w:rsidRPr="00D87275">
        <w:rPr>
          <w:rFonts w:ascii="Arial" w:eastAsia="Times New Roman" w:hAnsi="Arial" w:cs="Arial"/>
          <w:b/>
          <w:bCs/>
          <w:sz w:val="19"/>
          <w:szCs w:val="19"/>
          <w:lang w:val="en-US"/>
        </w:rPr>
        <w:t>our strategic plan, "</w:t>
      </w:r>
      <w:r w:rsidR="00CD7199" w:rsidRPr="00D87275">
        <w:rPr>
          <w:rFonts w:ascii="Arial" w:eastAsia="Times New Roman" w:hAnsi="Arial" w:cs="Arial"/>
          <w:b/>
          <w:bCs/>
          <w:sz w:val="19"/>
          <w:szCs w:val="19"/>
          <w:lang w:val="en-US"/>
        </w:rPr>
        <w:t>Renault Drive the Change</w:t>
      </w:r>
      <w:r w:rsidR="00CE7E12" w:rsidRPr="00D87275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". 2015 </w:t>
      </w:r>
      <w:r w:rsidR="000F2555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should </w:t>
      </w:r>
      <w:r w:rsidR="00F57B59">
        <w:rPr>
          <w:rFonts w:ascii="Arial" w:eastAsia="Times New Roman" w:hAnsi="Arial" w:cs="Arial"/>
          <w:b/>
          <w:bCs/>
          <w:sz w:val="19"/>
          <w:szCs w:val="19"/>
          <w:lang w:val="en-US"/>
        </w:rPr>
        <w:t>allow</w:t>
      </w:r>
      <w:r w:rsidR="002124BA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 us to take a new</w:t>
      </w:r>
      <w:r w:rsidR="005F5CE8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 step</w:t>
      </w:r>
      <w:r w:rsidR="002124BA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 forward</w:t>
      </w:r>
      <w:r w:rsidR="00CE7E12" w:rsidRPr="00D87275">
        <w:rPr>
          <w:rFonts w:ascii="Arial" w:eastAsia="Times New Roman" w:hAnsi="Arial" w:cs="Arial"/>
          <w:b/>
          <w:bCs/>
          <w:sz w:val="19"/>
          <w:szCs w:val="19"/>
          <w:lang w:val="en-US"/>
        </w:rPr>
        <w:t>, thanks to a</w:t>
      </w:r>
      <w:r w:rsidR="005F5CE8">
        <w:rPr>
          <w:rFonts w:ascii="Arial" w:eastAsia="Times New Roman" w:hAnsi="Arial" w:cs="Arial"/>
          <w:b/>
          <w:bCs/>
          <w:sz w:val="19"/>
          <w:szCs w:val="19"/>
          <w:lang w:val="en-US"/>
        </w:rPr>
        <w:t>n</w:t>
      </w:r>
      <w:r w:rsidR="00CE7E12" w:rsidRPr="00D87275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 </w:t>
      </w:r>
      <w:r w:rsidR="005F5CE8" w:rsidRPr="00D87275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unprecedented </w:t>
      </w:r>
      <w:r w:rsidR="00CE7E12" w:rsidRPr="00D87275">
        <w:rPr>
          <w:rFonts w:ascii="Arial" w:eastAsia="Times New Roman" w:hAnsi="Arial" w:cs="Arial"/>
          <w:b/>
          <w:bCs/>
          <w:sz w:val="19"/>
          <w:szCs w:val="19"/>
          <w:lang w:val="en-US"/>
        </w:rPr>
        <w:t>product offensive in the history of Renault</w:t>
      </w:r>
      <w:r>
        <w:rPr>
          <w:rFonts w:ascii="Arial" w:eastAsia="Times New Roman" w:hAnsi="Arial" w:cs="Arial"/>
          <w:b/>
          <w:bCs/>
          <w:sz w:val="19"/>
          <w:szCs w:val="19"/>
          <w:lang w:val="en-US"/>
        </w:rPr>
        <w:t>”</w:t>
      </w:r>
      <w:r w:rsidR="0023256A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, said Carlos </w:t>
      </w:r>
      <w:proofErr w:type="spellStart"/>
      <w:r w:rsidR="0023256A">
        <w:rPr>
          <w:rFonts w:ascii="Arial" w:eastAsia="Times New Roman" w:hAnsi="Arial" w:cs="Arial"/>
          <w:b/>
          <w:bCs/>
          <w:sz w:val="19"/>
          <w:szCs w:val="19"/>
          <w:lang w:val="en-US"/>
        </w:rPr>
        <w:t>Ghosn</w:t>
      </w:r>
      <w:proofErr w:type="spellEnd"/>
      <w:r w:rsidR="0023256A">
        <w:rPr>
          <w:rFonts w:ascii="Arial" w:eastAsia="Times New Roman" w:hAnsi="Arial" w:cs="Arial"/>
          <w:b/>
          <w:bCs/>
          <w:sz w:val="19"/>
          <w:szCs w:val="19"/>
          <w:lang w:val="en-US"/>
        </w:rPr>
        <w:t>, Chairman and Chief Executive Officer of Renault</w:t>
      </w:r>
      <w:r w:rsidR="00CE7E12" w:rsidRPr="00D87275">
        <w:rPr>
          <w:rFonts w:ascii="Arial" w:eastAsia="Times New Roman" w:hAnsi="Arial" w:cs="Arial"/>
          <w:b/>
          <w:bCs/>
          <w:sz w:val="19"/>
          <w:szCs w:val="19"/>
          <w:lang w:val="en-US"/>
        </w:rPr>
        <w:t>.</w:t>
      </w:r>
    </w:p>
    <w:p w:rsidR="00941DE0" w:rsidRPr="00D87275" w:rsidRDefault="00941DE0" w:rsidP="005D1948">
      <w:pPr>
        <w:pStyle w:val="Sous-titre1"/>
        <w:jc w:val="both"/>
        <w:textAlignment w:val="top"/>
        <w:divId w:val="953825124"/>
        <w:rPr>
          <w:rFonts w:eastAsia="Times New Roman"/>
          <w:b w:val="0"/>
          <w:bCs w:val="0"/>
          <w:sz w:val="19"/>
          <w:szCs w:val="19"/>
          <w:lang w:val="en-US"/>
        </w:rPr>
      </w:pPr>
    </w:p>
    <w:p w:rsidR="004A4010" w:rsidRPr="00D87275" w:rsidRDefault="00941DE0" w:rsidP="009A2BFD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In 2014, </w:t>
      </w:r>
      <w:r w:rsidRPr="00D87275">
        <w:rPr>
          <w:rFonts w:ascii="Arial" w:eastAsia="Times New Roman" w:hAnsi="Arial" w:cs="Arial"/>
          <w:b/>
          <w:bCs/>
          <w:sz w:val="19"/>
          <w:szCs w:val="19"/>
          <w:lang w:val="en-US"/>
        </w:rPr>
        <w:t>Group revenue</w:t>
      </w:r>
      <w:r w:rsidR="009A2BFD">
        <w:rPr>
          <w:rFonts w:ascii="Arial" w:eastAsia="Times New Roman" w:hAnsi="Arial" w:cs="Arial"/>
          <w:b/>
          <w:bCs/>
          <w:sz w:val="19"/>
          <w:szCs w:val="19"/>
          <w:lang w:val="en-US"/>
        </w:rPr>
        <w:t>s</w:t>
      </w:r>
      <w:r w:rsidRPr="00D87275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 </w:t>
      </w:r>
      <w:r w:rsidR="005F5CE8">
        <w:rPr>
          <w:rFonts w:ascii="Arial" w:eastAsia="Times New Roman" w:hAnsi="Arial" w:cs="Arial"/>
          <w:sz w:val="19"/>
          <w:szCs w:val="19"/>
          <w:lang w:val="en-US"/>
        </w:rPr>
        <w:t xml:space="preserve">came to </w:t>
      </w:r>
      <w:r w:rsidR="00734DB7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41</w:t>
      </w:r>
      <w:r w:rsidR="00A31320" w:rsidRPr="00D87275">
        <w:rPr>
          <w:rFonts w:ascii="Arial" w:eastAsia="Times New Roman" w:hAnsi="Arial" w:cs="Arial"/>
          <w:sz w:val="19"/>
          <w:szCs w:val="19"/>
          <w:lang w:val="en-US"/>
        </w:rPr>
        <w:t>,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055</w:t>
      </w:r>
      <w:r w:rsidR="00A3132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million, an increase of 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0.3</w:t>
      </w:r>
      <w:r w:rsidR="002124BA">
        <w:rPr>
          <w:rFonts w:ascii="Arial" w:eastAsia="Times New Roman" w:hAnsi="Arial" w:cs="Arial"/>
          <w:sz w:val="19"/>
          <w:szCs w:val="19"/>
          <w:lang w:val="en-US"/>
        </w:rPr>
        <w:t>% compared to</w:t>
      </w:r>
      <w:r w:rsidR="00A3132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2013. At constan</w:t>
      </w:r>
      <w:r w:rsidR="002124BA">
        <w:rPr>
          <w:rFonts w:ascii="Arial" w:eastAsia="Times New Roman" w:hAnsi="Arial" w:cs="Arial"/>
          <w:sz w:val="19"/>
          <w:szCs w:val="19"/>
          <w:lang w:val="en-US"/>
        </w:rPr>
        <w:t>t exchange rates, revenues grew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 xml:space="preserve"> by 3.1</w:t>
      </w:r>
      <w:r w:rsidR="00A31320" w:rsidRPr="00D87275">
        <w:rPr>
          <w:rFonts w:ascii="Arial" w:eastAsia="Times New Roman" w:hAnsi="Arial" w:cs="Arial"/>
          <w:sz w:val="19"/>
          <w:szCs w:val="19"/>
          <w:lang w:val="en-US"/>
        </w:rPr>
        <w:t>%.</w:t>
      </w:r>
    </w:p>
    <w:p w:rsidR="00C662F7" w:rsidRPr="00D87275" w:rsidRDefault="00C662F7" w:rsidP="009A72D6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</w:p>
    <w:p w:rsidR="00941DE0" w:rsidRPr="00D87275" w:rsidRDefault="00941DE0" w:rsidP="000F2555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  <w:r w:rsidRPr="00D87275">
        <w:rPr>
          <w:rFonts w:ascii="Arial" w:eastAsia="Times New Roman" w:hAnsi="Arial" w:cs="Arial"/>
          <w:sz w:val="19"/>
          <w:szCs w:val="19"/>
          <w:lang w:val="en-US"/>
        </w:rPr>
        <w:t>The contribution of the</w:t>
      </w:r>
      <w:r w:rsidRPr="00D87275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 </w:t>
      </w:r>
      <w:proofErr w:type="gramStart"/>
      <w:r w:rsidRPr="00D87275">
        <w:rPr>
          <w:rFonts w:ascii="Arial" w:eastAsia="Times New Roman" w:hAnsi="Arial" w:cs="Arial"/>
          <w:b/>
          <w:bCs/>
          <w:sz w:val="19"/>
          <w:szCs w:val="19"/>
          <w:lang w:val="en-US"/>
        </w:rPr>
        <w:t>Automotive</w:t>
      </w:r>
      <w:proofErr w:type="gramEnd"/>
      <w:r w:rsidRPr="00D87275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 division</w:t>
      </w:r>
      <w:r w:rsidRPr="00D87275">
        <w:rPr>
          <w:rFonts w:ascii="Arial" w:eastAsia="Times New Roman" w:hAnsi="Arial" w:cs="Arial"/>
          <w:bCs/>
          <w:sz w:val="19"/>
          <w:szCs w:val="19"/>
          <w:lang w:val="en-US"/>
        </w:rPr>
        <w:t xml:space="preserve"> to 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>revenue</w:t>
      </w:r>
      <w:r w:rsidR="0023256A">
        <w:rPr>
          <w:rFonts w:ascii="Arial" w:eastAsia="Times New Roman" w:hAnsi="Arial" w:cs="Arial"/>
          <w:sz w:val="19"/>
          <w:szCs w:val="19"/>
          <w:lang w:val="en-US"/>
        </w:rPr>
        <w:t>s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5F5CE8">
        <w:rPr>
          <w:rFonts w:ascii="Arial" w:eastAsia="Times New Roman" w:hAnsi="Arial" w:cs="Arial"/>
          <w:sz w:val="19"/>
          <w:szCs w:val="19"/>
          <w:lang w:val="en-US"/>
        </w:rPr>
        <w:t>amounted</w:t>
      </w:r>
      <w:r w:rsidR="002124BA">
        <w:rPr>
          <w:rFonts w:ascii="Arial" w:eastAsia="Times New Roman" w:hAnsi="Arial" w:cs="Arial"/>
          <w:sz w:val="19"/>
          <w:szCs w:val="19"/>
          <w:lang w:val="en-US"/>
        </w:rPr>
        <w:t xml:space="preserve"> to</w:t>
      </w:r>
      <w:r w:rsidR="005F5CE8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734DB7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38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>,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874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mill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 xml:space="preserve">ion, </w:t>
      </w:r>
      <w:r w:rsidR="005F5CE8">
        <w:rPr>
          <w:rFonts w:ascii="Arial" w:eastAsia="Times New Roman" w:hAnsi="Arial" w:cs="Arial"/>
          <w:sz w:val="19"/>
          <w:szCs w:val="19"/>
          <w:lang w:val="en-US"/>
        </w:rPr>
        <w:t>up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 xml:space="preserve"> 0.3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% </w:t>
      </w:r>
      <w:r w:rsidR="002124BA">
        <w:rPr>
          <w:rFonts w:ascii="Arial" w:eastAsia="Times New Roman" w:hAnsi="Arial" w:cs="Arial"/>
          <w:sz w:val="19"/>
          <w:szCs w:val="19"/>
          <w:lang w:val="en-US"/>
        </w:rPr>
        <w:t>vs</w:t>
      </w:r>
      <w:r w:rsidR="005F5CE8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2124BA">
        <w:rPr>
          <w:rFonts w:ascii="Arial" w:eastAsia="Times New Roman" w:hAnsi="Arial" w:cs="Arial"/>
          <w:sz w:val="19"/>
          <w:szCs w:val="19"/>
          <w:lang w:val="en-US"/>
        </w:rPr>
        <w:t>2013. The Group offset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negative currency </w:t>
      </w:r>
      <w:r w:rsidR="002124BA">
        <w:rPr>
          <w:rFonts w:ascii="Arial" w:eastAsia="Times New Roman" w:hAnsi="Arial" w:cs="Arial"/>
          <w:sz w:val="19"/>
          <w:szCs w:val="19"/>
          <w:lang w:val="en-US"/>
        </w:rPr>
        <w:t>variations by increasing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price</w:t>
      </w:r>
      <w:r w:rsidR="002124BA">
        <w:rPr>
          <w:rFonts w:ascii="Arial" w:eastAsia="Times New Roman" w:hAnsi="Arial" w:cs="Arial"/>
          <w:sz w:val="19"/>
          <w:szCs w:val="19"/>
          <w:lang w:val="en-US"/>
        </w:rPr>
        <w:t>s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outside Europe and </w:t>
      </w:r>
      <w:r w:rsidR="00B77F53">
        <w:rPr>
          <w:rFonts w:ascii="Arial" w:eastAsia="Times New Roman" w:hAnsi="Arial" w:cs="Arial"/>
          <w:sz w:val="19"/>
          <w:szCs w:val="19"/>
          <w:lang w:val="en-US"/>
        </w:rPr>
        <w:t xml:space="preserve">by the 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strong growth </w:t>
      </w:r>
      <w:r w:rsidR="000F2555">
        <w:rPr>
          <w:rFonts w:ascii="Arial" w:eastAsia="Times New Roman" w:hAnsi="Arial" w:cs="Arial"/>
          <w:sz w:val="19"/>
          <w:szCs w:val="19"/>
          <w:lang w:val="en-US"/>
        </w:rPr>
        <w:t>of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2124BA">
        <w:rPr>
          <w:rFonts w:ascii="Arial" w:eastAsia="Times New Roman" w:hAnsi="Arial" w:cs="Arial"/>
          <w:sz w:val="19"/>
          <w:szCs w:val="19"/>
          <w:lang w:val="en-US"/>
        </w:rPr>
        <w:t>sales to</w:t>
      </w:r>
      <w:r w:rsidR="000F2555">
        <w:rPr>
          <w:rFonts w:ascii="Arial" w:eastAsia="Times New Roman" w:hAnsi="Arial" w:cs="Arial"/>
          <w:sz w:val="19"/>
          <w:szCs w:val="19"/>
          <w:lang w:val="en-US"/>
        </w:rPr>
        <w:t xml:space="preserve"> partners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>.</w:t>
      </w:r>
    </w:p>
    <w:p w:rsidR="00941DE0" w:rsidRPr="00D87275" w:rsidRDefault="00941DE0" w:rsidP="009A72D6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</w:p>
    <w:p w:rsidR="00941DE0" w:rsidRPr="00D87275" w:rsidRDefault="00941DE0" w:rsidP="00B77F53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The </w:t>
      </w:r>
      <w:r w:rsidRPr="00D87275">
        <w:rPr>
          <w:rFonts w:ascii="Arial" w:eastAsia="Times New Roman" w:hAnsi="Arial" w:cs="Arial"/>
          <w:b/>
          <w:sz w:val="19"/>
          <w:szCs w:val="19"/>
          <w:lang w:val="en-US"/>
        </w:rPr>
        <w:t xml:space="preserve">Group's operating </w:t>
      </w:r>
      <w:r w:rsidR="0023256A">
        <w:rPr>
          <w:rFonts w:ascii="Arial" w:eastAsia="Times New Roman" w:hAnsi="Arial" w:cs="Arial"/>
          <w:b/>
          <w:bCs/>
          <w:sz w:val="19"/>
          <w:szCs w:val="19"/>
          <w:lang w:val="en-US"/>
        </w:rPr>
        <w:t>profit</w:t>
      </w:r>
      <w:r w:rsidRPr="00D87275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 </w:t>
      </w:r>
      <w:r w:rsidR="00B77F53">
        <w:rPr>
          <w:rFonts w:ascii="Arial" w:eastAsia="Times New Roman" w:hAnsi="Arial" w:cs="Arial"/>
          <w:sz w:val="19"/>
          <w:szCs w:val="19"/>
          <w:lang w:val="en-US"/>
        </w:rPr>
        <w:t>reached</w:t>
      </w:r>
      <w:r w:rsidR="00A3132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734DB7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1</w:t>
      </w:r>
      <w:r w:rsidR="00A31320" w:rsidRPr="00D87275">
        <w:rPr>
          <w:rFonts w:ascii="Arial" w:eastAsia="Times New Roman" w:hAnsi="Arial" w:cs="Arial"/>
          <w:sz w:val="19"/>
          <w:szCs w:val="19"/>
          <w:lang w:val="en-US"/>
        </w:rPr>
        <w:t>,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609</w:t>
      </w:r>
      <w:r w:rsidR="00D03683">
        <w:rPr>
          <w:rFonts w:ascii="Arial" w:eastAsia="Times New Roman" w:hAnsi="Arial" w:cs="Arial"/>
          <w:sz w:val="19"/>
          <w:szCs w:val="19"/>
          <w:lang w:val="en-US"/>
        </w:rPr>
        <w:t> </w:t>
      </w:r>
      <w:r w:rsidR="002124BA">
        <w:rPr>
          <w:rFonts w:ascii="Arial" w:eastAsia="Times New Roman" w:hAnsi="Arial" w:cs="Arial"/>
          <w:sz w:val="19"/>
          <w:szCs w:val="19"/>
          <w:lang w:val="en-US"/>
        </w:rPr>
        <w:t>million, compared to</w:t>
      </w:r>
      <w:r w:rsidR="00A3132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16769B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1</w:t>
      </w:r>
      <w:r w:rsidR="00A31320" w:rsidRPr="00D87275">
        <w:rPr>
          <w:rFonts w:ascii="Arial" w:eastAsia="Times New Roman" w:hAnsi="Arial" w:cs="Arial"/>
          <w:sz w:val="19"/>
          <w:szCs w:val="19"/>
          <w:lang w:val="en-US"/>
        </w:rPr>
        <w:t>,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242</w:t>
      </w:r>
      <w:r w:rsidR="00A31320" w:rsidRPr="00D87275">
        <w:rPr>
          <w:rFonts w:ascii="Arial" w:eastAsia="Times New Roman" w:hAnsi="Arial" w:cs="Arial"/>
          <w:sz w:val="19"/>
          <w:szCs w:val="19"/>
          <w:lang w:val="en-US"/>
        </w:rPr>
        <w:t> 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 xml:space="preserve">million in 2013 </w:t>
      </w:r>
      <w:r w:rsidR="00B77F53">
        <w:rPr>
          <w:rFonts w:ascii="Arial" w:eastAsia="Times New Roman" w:hAnsi="Arial" w:cs="Arial"/>
          <w:sz w:val="19"/>
          <w:szCs w:val="19"/>
          <w:lang w:val="en-US"/>
        </w:rPr>
        <w:t>(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3</w:t>
      </w:r>
      <w:r w:rsidR="00A31320" w:rsidRPr="00D87275">
        <w:rPr>
          <w:rFonts w:ascii="Arial" w:eastAsia="Times New Roman" w:hAnsi="Arial" w:cs="Arial"/>
          <w:sz w:val="19"/>
          <w:szCs w:val="19"/>
          <w:lang w:val="en-US"/>
        </w:rPr>
        <w:t>.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9</w:t>
      </w:r>
      <w:r w:rsidR="00A31320" w:rsidRPr="00D87275">
        <w:rPr>
          <w:rFonts w:ascii="Arial" w:eastAsia="Times New Roman" w:hAnsi="Arial" w:cs="Arial"/>
          <w:sz w:val="19"/>
          <w:szCs w:val="19"/>
          <w:lang w:val="en-US"/>
        </w:rPr>
        <w:t>% of revenue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s</w:t>
      </w:r>
      <w:r w:rsidR="00A3132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B77F53">
        <w:rPr>
          <w:rFonts w:ascii="Arial" w:eastAsia="Times New Roman" w:hAnsi="Arial" w:cs="Arial"/>
          <w:sz w:val="19"/>
          <w:szCs w:val="19"/>
          <w:lang w:val="en-US"/>
        </w:rPr>
        <w:t xml:space="preserve">vs 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3.0</w:t>
      </w:r>
      <w:r w:rsidR="00A31320" w:rsidRPr="00D87275">
        <w:rPr>
          <w:rFonts w:ascii="Arial" w:eastAsia="Times New Roman" w:hAnsi="Arial" w:cs="Arial"/>
          <w:sz w:val="19"/>
          <w:szCs w:val="19"/>
          <w:lang w:val="en-US"/>
        </w:rPr>
        <w:t>% in 2013).</w:t>
      </w:r>
    </w:p>
    <w:p w:rsidR="005365EC" w:rsidRPr="00D87275" w:rsidRDefault="005365EC" w:rsidP="00027DFC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</w:p>
    <w:p w:rsidR="00941DE0" w:rsidRPr="00D87275" w:rsidRDefault="00941DE0" w:rsidP="001C7260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The </w:t>
      </w:r>
      <w:r w:rsidRPr="00D87275">
        <w:rPr>
          <w:rFonts w:ascii="Arial" w:eastAsia="Times New Roman" w:hAnsi="Arial" w:cs="Arial"/>
          <w:b/>
          <w:sz w:val="19"/>
          <w:szCs w:val="19"/>
          <w:lang w:val="en-US"/>
        </w:rPr>
        <w:t xml:space="preserve">Automotive operating </w:t>
      </w:r>
      <w:r w:rsidR="0023256A">
        <w:rPr>
          <w:rFonts w:ascii="Arial" w:eastAsia="Times New Roman" w:hAnsi="Arial" w:cs="Arial"/>
          <w:b/>
          <w:sz w:val="19"/>
          <w:szCs w:val="19"/>
          <w:lang w:val="en-US"/>
        </w:rPr>
        <w:t>profit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rose 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>by</w:t>
      </w:r>
      <w:r w:rsidR="001C726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€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>363</w:t>
      </w:r>
      <w:r w:rsidR="001C726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million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to </w:t>
      </w:r>
      <w:r w:rsidR="0016769B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858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 xml:space="preserve"> million, representing 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2.2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>% of revenue</w:t>
      </w:r>
      <w:r w:rsidR="0023256A">
        <w:rPr>
          <w:rFonts w:ascii="Arial" w:eastAsia="Times New Roman" w:hAnsi="Arial" w:cs="Arial"/>
          <w:sz w:val="19"/>
          <w:szCs w:val="19"/>
          <w:lang w:val="en-US"/>
        </w:rPr>
        <w:t>s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. This 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>performance results from</w:t>
      </w:r>
      <w:r w:rsidR="00F57B59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>cost</w:t>
      </w:r>
      <w:r w:rsidR="00B77F53">
        <w:rPr>
          <w:rFonts w:ascii="Arial" w:eastAsia="Times New Roman" w:hAnsi="Arial" w:cs="Arial"/>
          <w:sz w:val="19"/>
          <w:szCs w:val="19"/>
          <w:lang w:val="en-US"/>
        </w:rPr>
        <w:t xml:space="preserve"> reduction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>s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and 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>from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growth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 xml:space="preserve"> in sales while unfavorable foreign exchange rates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and the </w:t>
      </w:r>
      <w:r w:rsidR="000F2555">
        <w:rPr>
          <w:rFonts w:ascii="Arial" w:eastAsia="Times New Roman" w:hAnsi="Arial" w:cs="Arial"/>
          <w:sz w:val="19"/>
          <w:szCs w:val="19"/>
          <w:lang w:val="en-US"/>
        </w:rPr>
        <w:t>enrichment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of some end-of-life models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 xml:space="preserve"> impacted negatively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>.</w:t>
      </w:r>
    </w:p>
    <w:p w:rsidR="00941DE0" w:rsidRPr="00D87275" w:rsidRDefault="00941DE0" w:rsidP="009A72D6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</w:p>
    <w:p w:rsidR="00316CB6" w:rsidRPr="00D87275" w:rsidRDefault="0023256A" w:rsidP="001C7260">
      <w:pPr>
        <w:autoSpaceDE w:val="0"/>
        <w:autoSpaceDN w:val="0"/>
        <w:adjustRightInd w:val="0"/>
        <w:ind w:right="49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>Sales Financing</w:t>
      </w:r>
      <w:r w:rsidR="00941DE0" w:rsidRPr="00D87275">
        <w:rPr>
          <w:rFonts w:ascii="Arial" w:eastAsia="Times New Roman" w:hAnsi="Arial" w:cs="Arial"/>
          <w:b/>
          <w:sz w:val="19"/>
          <w:szCs w:val="19"/>
          <w:lang w:val="en-US"/>
        </w:rPr>
        <w:t xml:space="preserve"> 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>contributed to</w:t>
      </w:r>
      <w:r w:rsidR="00941DE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16769B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751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 xml:space="preserve"> million to Group</w:t>
      </w:r>
      <w:r w:rsidR="001C726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operating 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>profit</w:t>
      </w:r>
      <w:r w:rsidR="001C726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>compared to</w:t>
      </w:r>
      <w:r w:rsidR="00941DE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16769B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747</w:t>
      </w:r>
      <w:r>
        <w:rPr>
          <w:rFonts w:ascii="Arial" w:eastAsia="Times New Roman" w:hAnsi="Arial" w:cs="Arial"/>
          <w:sz w:val="19"/>
          <w:szCs w:val="19"/>
          <w:lang w:val="en-US"/>
        </w:rPr>
        <w:t> 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>million in 2013. The drop</w:t>
      </w:r>
      <w:r w:rsidR="00941DE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in net banking income 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>was</w:t>
      </w:r>
      <w:r w:rsidR="00941DE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offset by an increase in average loans outstanding and 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>by growth in</w:t>
      </w:r>
      <w:r w:rsidR="00941DE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service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>s. The cost of risk remained</w:t>
      </w:r>
      <w:r w:rsidR="00941DE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stable at 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0</w:t>
      </w:r>
      <w:r w:rsidR="00941DE0" w:rsidRPr="00D87275">
        <w:rPr>
          <w:rFonts w:ascii="Arial" w:eastAsia="Times New Roman" w:hAnsi="Arial" w:cs="Arial"/>
          <w:sz w:val="19"/>
          <w:szCs w:val="19"/>
          <w:lang w:val="en-US"/>
        </w:rPr>
        <w:t>.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43</w:t>
      </w:r>
      <w:r w:rsidR="00941DE0" w:rsidRPr="00D87275">
        <w:rPr>
          <w:rFonts w:ascii="Arial" w:eastAsia="Times New Roman" w:hAnsi="Arial" w:cs="Arial"/>
          <w:sz w:val="19"/>
          <w:szCs w:val="19"/>
          <w:lang w:val="en-US"/>
        </w:rPr>
        <w:t>%.</w:t>
      </w:r>
    </w:p>
    <w:p w:rsidR="00941DE0" w:rsidRPr="00D87275" w:rsidRDefault="00941DE0" w:rsidP="009A72D6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</w:p>
    <w:p w:rsidR="00713866" w:rsidRPr="00D87275" w:rsidRDefault="0023256A" w:rsidP="009A2BFD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bCs/>
          <w:sz w:val="19"/>
          <w:szCs w:val="19"/>
          <w:lang w:val="en-US"/>
        </w:rPr>
        <w:t>O</w:t>
      </w:r>
      <w:r w:rsidR="00941DE0" w:rsidRPr="00D87275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ther operating income and expense items 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>were</w:t>
      </w:r>
      <w:r w:rsidR="00941DE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negative by </w:t>
      </w:r>
      <w:r w:rsidR="0016769B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504</w:t>
      </w:r>
      <w:r w:rsidR="00941DE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 million, mostly due to restructuring costs of </w:t>
      </w:r>
      <w:r w:rsidR="0016769B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305</w:t>
      </w:r>
      <w:r w:rsidR="00941DE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 million and 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>the impairment of assets for</w:t>
      </w:r>
      <w:r w:rsidR="00941DE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16769B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153</w:t>
      </w:r>
      <w:r w:rsidR="00941DE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 million. </w:t>
      </w:r>
    </w:p>
    <w:p w:rsidR="00713866" w:rsidRPr="00D87275" w:rsidRDefault="00713866" w:rsidP="00316CB6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</w:p>
    <w:p w:rsidR="00941DE0" w:rsidRPr="00D87275" w:rsidRDefault="00366C5D" w:rsidP="00366C5D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>Group</w:t>
      </w:r>
      <w:r w:rsidR="005562F4">
        <w:rPr>
          <w:rFonts w:ascii="Arial" w:eastAsia="Times New Roman" w:hAnsi="Arial" w:cs="Arial"/>
          <w:b/>
          <w:sz w:val="19"/>
          <w:szCs w:val="19"/>
          <w:lang w:val="en-US"/>
        </w:rPr>
        <w:t xml:space="preserve"> o</w:t>
      </w:r>
      <w:r w:rsidR="00713866" w:rsidRPr="00D87275">
        <w:rPr>
          <w:rFonts w:ascii="Arial" w:eastAsia="Times New Roman" w:hAnsi="Arial" w:cs="Arial"/>
          <w:b/>
          <w:sz w:val="19"/>
          <w:szCs w:val="19"/>
          <w:lang w:val="en-US"/>
        </w:rPr>
        <w:t>perating income</w:t>
      </w:r>
      <w:r w:rsidR="006F769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B77F53">
        <w:rPr>
          <w:rFonts w:ascii="Arial" w:eastAsia="Times New Roman" w:hAnsi="Arial" w:cs="Arial"/>
          <w:sz w:val="19"/>
          <w:szCs w:val="19"/>
          <w:lang w:val="en-US"/>
        </w:rPr>
        <w:t>came to</w:t>
      </w:r>
      <w:r w:rsidR="006F769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16769B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1,105 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>million compared to</w:t>
      </w:r>
      <w:r w:rsidR="006F769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-</w:t>
      </w:r>
      <w:r w:rsidR="0016769B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9A2BFD">
        <w:rPr>
          <w:rFonts w:ascii="Arial" w:eastAsia="Times New Roman" w:hAnsi="Arial" w:cs="Arial"/>
          <w:sz w:val="19"/>
          <w:szCs w:val="19"/>
          <w:lang w:val="en-US"/>
        </w:rPr>
        <w:t>34</w:t>
      </w:r>
      <w:r w:rsidR="00D03683">
        <w:rPr>
          <w:rFonts w:ascii="Arial" w:eastAsia="Times New Roman" w:hAnsi="Arial" w:cs="Arial"/>
          <w:sz w:val="19"/>
          <w:szCs w:val="19"/>
          <w:lang w:val="en-US"/>
        </w:rPr>
        <w:t> </w:t>
      </w:r>
      <w:r w:rsidR="006F7690" w:rsidRPr="00D87275">
        <w:rPr>
          <w:rFonts w:ascii="Arial" w:eastAsia="Times New Roman" w:hAnsi="Arial" w:cs="Arial"/>
          <w:sz w:val="19"/>
          <w:szCs w:val="19"/>
          <w:lang w:val="en-US"/>
        </w:rPr>
        <w:t>million in 2013.</w:t>
      </w:r>
      <w:r w:rsidR="002C49F4">
        <w:rPr>
          <w:rFonts w:ascii="Arial" w:eastAsia="Times New Roman" w:hAnsi="Arial" w:cs="Arial"/>
          <w:sz w:val="19"/>
          <w:szCs w:val="19"/>
          <w:lang w:val="en-US"/>
        </w:rPr>
        <w:t xml:space="preserve"> This improvement results from the increase in operating profit and the reduction in other operating expenses of €772</w:t>
      </w:r>
      <w:r w:rsidR="00D03683">
        <w:rPr>
          <w:rFonts w:ascii="Arial" w:eastAsia="Times New Roman" w:hAnsi="Arial" w:cs="Arial"/>
          <w:sz w:val="19"/>
          <w:szCs w:val="19"/>
          <w:lang w:val="en-US"/>
        </w:rPr>
        <w:t> </w:t>
      </w:r>
      <w:r w:rsidR="002C49F4">
        <w:rPr>
          <w:rFonts w:ascii="Arial" w:eastAsia="Times New Roman" w:hAnsi="Arial" w:cs="Arial"/>
          <w:sz w:val="19"/>
          <w:szCs w:val="19"/>
          <w:lang w:val="en-US"/>
        </w:rPr>
        <w:t>m</w:t>
      </w:r>
      <w:r w:rsidR="00D03683">
        <w:rPr>
          <w:rFonts w:ascii="Arial" w:eastAsia="Times New Roman" w:hAnsi="Arial" w:cs="Arial"/>
          <w:sz w:val="19"/>
          <w:szCs w:val="19"/>
          <w:lang w:val="en-US"/>
        </w:rPr>
        <w:t>illion</w:t>
      </w:r>
      <w:r w:rsidR="002C49F4">
        <w:rPr>
          <w:rFonts w:ascii="Arial" w:eastAsia="Times New Roman" w:hAnsi="Arial" w:cs="Arial"/>
          <w:sz w:val="19"/>
          <w:szCs w:val="19"/>
          <w:lang w:val="en-US"/>
        </w:rPr>
        <w:t xml:space="preserve">. </w:t>
      </w:r>
    </w:p>
    <w:p w:rsidR="00941DE0" w:rsidRPr="00D87275" w:rsidRDefault="00941DE0" w:rsidP="009A72D6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</w:p>
    <w:p w:rsidR="00941DE0" w:rsidRPr="00D87275" w:rsidRDefault="00941DE0" w:rsidP="0023256A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The </w:t>
      </w:r>
      <w:r w:rsidRPr="00D87275">
        <w:rPr>
          <w:rFonts w:ascii="Arial" w:eastAsia="Times New Roman" w:hAnsi="Arial" w:cs="Arial"/>
          <w:b/>
          <w:bCs/>
          <w:sz w:val="19"/>
          <w:szCs w:val="19"/>
          <w:lang w:val="en-US"/>
        </w:rPr>
        <w:t>contribution of associated companies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, </w:t>
      </w:r>
      <w:r w:rsidR="0023256A">
        <w:rPr>
          <w:rFonts w:ascii="Arial" w:eastAsia="Times New Roman" w:hAnsi="Arial" w:cs="Arial"/>
          <w:sz w:val="19"/>
          <w:szCs w:val="19"/>
          <w:lang w:val="en-US"/>
        </w:rPr>
        <w:t>mainly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Nissan, was </w:t>
      </w:r>
      <w:r w:rsidR="0016769B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AA74C8">
        <w:rPr>
          <w:rFonts w:ascii="Arial" w:eastAsia="Times New Roman" w:hAnsi="Arial" w:cs="Arial"/>
          <w:sz w:val="19"/>
          <w:szCs w:val="19"/>
          <w:lang w:val="en-US"/>
        </w:rPr>
        <w:t>1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>,</w:t>
      </w:r>
      <w:r w:rsidR="00AA74C8">
        <w:rPr>
          <w:rFonts w:ascii="Arial" w:eastAsia="Times New Roman" w:hAnsi="Arial" w:cs="Arial"/>
          <w:sz w:val="19"/>
          <w:szCs w:val="19"/>
          <w:lang w:val="en-US"/>
        </w:rPr>
        <w:t>362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million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>, compared to</w:t>
      </w:r>
      <w:r w:rsidR="00A3132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16769B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AA74C8">
        <w:rPr>
          <w:rFonts w:ascii="Arial" w:eastAsia="Times New Roman" w:hAnsi="Arial" w:cs="Arial"/>
          <w:sz w:val="19"/>
          <w:szCs w:val="19"/>
          <w:lang w:val="en-US"/>
        </w:rPr>
        <w:t>1,444 </w:t>
      </w:r>
      <w:r w:rsidR="00A3132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million in 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 xml:space="preserve">2013, including </w:t>
      </w:r>
      <w:r w:rsidR="00A3132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the negative contribution of AVTOVAZ for </w:t>
      </w:r>
      <w:r w:rsidR="00AA74C8">
        <w:rPr>
          <w:rFonts w:ascii="Arial" w:eastAsia="Times New Roman" w:hAnsi="Arial" w:cs="Arial"/>
          <w:sz w:val="19"/>
          <w:szCs w:val="19"/>
          <w:lang w:val="en-US"/>
        </w:rPr>
        <w:t>-</w:t>
      </w:r>
      <w:r w:rsidR="0016769B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AA74C8">
        <w:rPr>
          <w:rFonts w:ascii="Arial" w:eastAsia="Times New Roman" w:hAnsi="Arial" w:cs="Arial"/>
          <w:sz w:val="19"/>
          <w:szCs w:val="19"/>
          <w:lang w:val="en-US"/>
        </w:rPr>
        <w:t>182</w:t>
      </w:r>
      <w:r w:rsidR="00A31320" w:rsidRPr="00D87275">
        <w:rPr>
          <w:rFonts w:ascii="Arial" w:eastAsia="Times New Roman" w:hAnsi="Arial" w:cs="Arial"/>
          <w:sz w:val="19"/>
          <w:szCs w:val="19"/>
          <w:lang w:val="en-US"/>
        </w:rPr>
        <w:t> million.</w:t>
      </w:r>
    </w:p>
    <w:p w:rsidR="00941DE0" w:rsidRPr="00D87275" w:rsidRDefault="00941DE0" w:rsidP="009A72D6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</w:p>
    <w:p w:rsidR="00941DE0" w:rsidRPr="00D87275" w:rsidRDefault="00941DE0" w:rsidP="0023256A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  <w:r w:rsidRPr="00D87275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Net income </w:t>
      </w:r>
      <w:r w:rsidR="0023256A">
        <w:rPr>
          <w:rFonts w:ascii="Arial" w:eastAsia="Times New Roman" w:hAnsi="Arial" w:cs="Arial"/>
          <w:sz w:val="19"/>
          <w:szCs w:val="19"/>
          <w:lang w:val="en-US"/>
        </w:rPr>
        <w:t>came to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16769B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AA74C8">
        <w:rPr>
          <w:rFonts w:ascii="Arial" w:eastAsia="Times New Roman" w:hAnsi="Arial" w:cs="Arial"/>
          <w:sz w:val="19"/>
          <w:szCs w:val="19"/>
          <w:lang w:val="en-US"/>
        </w:rPr>
        <w:t>1,998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million and net income, Group share</w:t>
      </w:r>
      <w:r w:rsidR="000F2555">
        <w:rPr>
          <w:rFonts w:ascii="Arial" w:eastAsia="Times New Roman" w:hAnsi="Arial" w:cs="Arial"/>
          <w:sz w:val="19"/>
          <w:szCs w:val="19"/>
          <w:lang w:val="en-US"/>
        </w:rPr>
        <w:t>,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23256A">
        <w:rPr>
          <w:rFonts w:ascii="Arial" w:eastAsia="Times New Roman" w:hAnsi="Arial" w:cs="Arial"/>
          <w:sz w:val="19"/>
          <w:szCs w:val="19"/>
          <w:lang w:val="en-US"/>
        </w:rPr>
        <w:t>to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AA74C8">
        <w:rPr>
          <w:rFonts w:ascii="Arial" w:eastAsia="Times New Roman" w:hAnsi="Arial" w:cs="Arial"/>
          <w:sz w:val="19"/>
          <w:szCs w:val="19"/>
          <w:lang w:val="en-US"/>
        </w:rPr>
        <w:t>€1,890</w:t>
      </w:r>
      <w:r w:rsidR="0016769B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million</w:t>
      </w:r>
      <w:r w:rsidR="007A508C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6F7690" w:rsidRPr="00D87275">
        <w:rPr>
          <w:rFonts w:ascii="Arial" w:eastAsia="Times New Roman" w:hAnsi="Arial" w:cs="Arial"/>
          <w:sz w:val="19"/>
          <w:szCs w:val="19"/>
          <w:lang w:val="en-US"/>
        </w:rPr>
        <w:t>(</w:t>
      </w:r>
      <w:r w:rsidR="0016769B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AA74C8">
        <w:rPr>
          <w:rFonts w:ascii="Arial" w:eastAsia="Times New Roman" w:hAnsi="Arial" w:cs="Arial"/>
          <w:sz w:val="19"/>
          <w:szCs w:val="19"/>
          <w:lang w:val="en-US"/>
        </w:rPr>
        <w:t>6.92</w:t>
      </w:r>
      <w:r w:rsidR="001C7260">
        <w:rPr>
          <w:rFonts w:ascii="Arial" w:eastAsia="Times New Roman" w:hAnsi="Arial" w:cs="Arial"/>
          <w:sz w:val="19"/>
          <w:szCs w:val="19"/>
          <w:lang w:val="en-US"/>
        </w:rPr>
        <w:t xml:space="preserve"> per share compared to</w:t>
      </w:r>
      <w:r w:rsidR="006F769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16769B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AA74C8">
        <w:rPr>
          <w:rFonts w:ascii="Arial" w:eastAsia="Times New Roman" w:hAnsi="Arial" w:cs="Arial"/>
          <w:sz w:val="19"/>
          <w:szCs w:val="19"/>
          <w:lang w:val="en-US"/>
        </w:rPr>
        <w:t>2.15</w:t>
      </w:r>
      <w:r w:rsidR="006F7690"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per share in 2013).</w:t>
      </w:r>
    </w:p>
    <w:p w:rsidR="00941DE0" w:rsidRPr="00D87275" w:rsidRDefault="00941DE0" w:rsidP="009A72D6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</w:p>
    <w:p w:rsidR="006F7690" w:rsidRDefault="00941DE0" w:rsidP="0023256A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Automotive </w:t>
      </w:r>
      <w:r w:rsidR="0023256A">
        <w:rPr>
          <w:rFonts w:ascii="Arial" w:eastAsia="Times New Roman" w:hAnsi="Arial" w:cs="Arial"/>
          <w:sz w:val="19"/>
          <w:szCs w:val="19"/>
          <w:lang w:val="en-US"/>
        </w:rPr>
        <w:t>operational</w:t>
      </w:r>
      <w:r w:rsidRPr="007A508C">
        <w:rPr>
          <w:rFonts w:ascii="Arial" w:eastAsia="Times New Roman" w:hAnsi="Arial" w:cs="Arial"/>
          <w:b/>
          <w:sz w:val="19"/>
          <w:szCs w:val="19"/>
          <w:lang w:val="en-US"/>
        </w:rPr>
        <w:t xml:space="preserve"> free </w:t>
      </w:r>
      <w:r w:rsidRPr="007A508C">
        <w:rPr>
          <w:rFonts w:ascii="Arial" w:eastAsia="Times New Roman" w:hAnsi="Arial" w:cs="Arial"/>
          <w:b/>
          <w:bCs/>
          <w:iCs/>
          <w:sz w:val="19"/>
          <w:szCs w:val="19"/>
          <w:lang w:val="en-US"/>
        </w:rPr>
        <w:t xml:space="preserve">cash flow 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was positive at </w:t>
      </w:r>
      <w:r w:rsidR="0016769B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AA74C8">
        <w:rPr>
          <w:rFonts w:ascii="Arial" w:eastAsia="Times New Roman" w:hAnsi="Arial" w:cs="Arial"/>
          <w:sz w:val="19"/>
          <w:szCs w:val="19"/>
          <w:lang w:val="en-US"/>
        </w:rPr>
        <w:t>1,083</w:t>
      </w:r>
      <w:r w:rsidR="00D03683">
        <w:rPr>
          <w:rFonts w:ascii="Arial" w:eastAsia="Times New Roman" w:hAnsi="Arial" w:cs="Arial"/>
          <w:sz w:val="19"/>
          <w:szCs w:val="19"/>
          <w:lang w:val="en-US"/>
        </w:rPr>
        <w:t> 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million, </w:t>
      </w:r>
      <w:r w:rsidR="00C137F0">
        <w:rPr>
          <w:rFonts w:ascii="Arial" w:eastAsia="Times New Roman" w:hAnsi="Arial" w:cs="Arial"/>
          <w:sz w:val="19"/>
          <w:szCs w:val="19"/>
          <w:lang w:val="en-US"/>
        </w:rPr>
        <w:t>due to the increase in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profitabili</w:t>
      </w:r>
      <w:r w:rsidR="00C137F0">
        <w:rPr>
          <w:rFonts w:ascii="Arial" w:eastAsia="Times New Roman" w:hAnsi="Arial" w:cs="Arial"/>
          <w:sz w:val="19"/>
          <w:szCs w:val="19"/>
          <w:lang w:val="en-US"/>
        </w:rPr>
        <w:t>ty, as well as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a positive change of </w:t>
      </w:r>
      <w:r w:rsidR="0016769B" w:rsidRPr="00D87275">
        <w:rPr>
          <w:rFonts w:ascii="Arial" w:eastAsia="Times New Roman" w:hAnsi="Arial" w:cs="Arial"/>
          <w:sz w:val="19"/>
          <w:szCs w:val="19"/>
          <w:lang w:val="en-US"/>
        </w:rPr>
        <w:t>€</w:t>
      </w:r>
      <w:r w:rsidR="00AA74C8">
        <w:rPr>
          <w:rFonts w:ascii="Arial" w:eastAsia="Times New Roman" w:hAnsi="Arial" w:cs="Arial"/>
          <w:sz w:val="19"/>
          <w:szCs w:val="19"/>
          <w:lang w:val="en-US"/>
        </w:rPr>
        <w:t>596</w:t>
      </w:r>
      <w:r w:rsidRPr="00D87275">
        <w:rPr>
          <w:rFonts w:ascii="Arial" w:eastAsia="Times New Roman" w:hAnsi="Arial" w:cs="Arial"/>
          <w:sz w:val="19"/>
          <w:szCs w:val="19"/>
          <w:lang w:val="en-US"/>
        </w:rPr>
        <w:t xml:space="preserve"> million in the working capital requirement over the period.</w:t>
      </w:r>
    </w:p>
    <w:p w:rsidR="00DB3236" w:rsidRDefault="00DB3236" w:rsidP="0023256A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</w:p>
    <w:p w:rsidR="00DB3236" w:rsidRPr="00DB3236" w:rsidRDefault="00DB3236" w:rsidP="00DB3236">
      <w:pPr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  <w:r w:rsidRPr="00DB3236">
        <w:rPr>
          <w:rFonts w:ascii="Arial" w:eastAsia="Times New Roman" w:hAnsi="Arial" w:cs="Arial"/>
          <w:sz w:val="19"/>
          <w:szCs w:val="19"/>
          <w:lang w:val="en-US"/>
        </w:rPr>
        <w:t>A dividend of €1.90 per share, vs €1.72 last year, will be submitted for approval at the next Shareholders’ Annual General Meeting.</w:t>
      </w:r>
    </w:p>
    <w:p w:rsidR="00DB3236" w:rsidRPr="00DB3236" w:rsidRDefault="00DB3236" w:rsidP="0023256A">
      <w:pPr>
        <w:autoSpaceDE w:val="0"/>
        <w:autoSpaceDN w:val="0"/>
        <w:adjustRightInd w:val="0"/>
        <w:jc w:val="both"/>
        <w:divId w:val="953825124"/>
        <w:rPr>
          <w:rFonts w:ascii="Arial" w:eastAsia="Times New Roman" w:hAnsi="Arial" w:cs="Arial"/>
          <w:sz w:val="19"/>
          <w:szCs w:val="19"/>
          <w:lang w:val="en-US"/>
        </w:rPr>
      </w:pPr>
    </w:p>
    <w:p w:rsidR="00AA74C8" w:rsidRPr="00AA74C8" w:rsidRDefault="00AA74C8" w:rsidP="00AA74C8">
      <w:pPr>
        <w:pStyle w:val="Titre8"/>
        <w:spacing w:after="0" w:line="280" w:lineRule="exact"/>
        <w:jc w:val="both"/>
        <w:divId w:val="781458629"/>
        <w:rPr>
          <w:rFonts w:ascii="Arial" w:hAnsi="Arial" w:cs="Arial"/>
          <w:b/>
          <w:i w:val="0"/>
          <w:caps/>
          <w:sz w:val="20"/>
          <w:szCs w:val="20"/>
          <w:lang w:val="en-US"/>
        </w:rPr>
      </w:pPr>
      <w:r w:rsidRPr="00AA74C8">
        <w:rPr>
          <w:rFonts w:ascii="Arial" w:hAnsi="Arial" w:cs="Arial"/>
          <w:b/>
          <w:i w:val="0"/>
          <w:caps/>
          <w:sz w:val="20"/>
          <w:szCs w:val="20"/>
          <w:lang w:val="en-US"/>
        </w:rPr>
        <w:t>2015 OUTLOOK</w:t>
      </w:r>
    </w:p>
    <w:p w:rsidR="00AA74C8" w:rsidRPr="00AA74C8" w:rsidRDefault="00AA74C8" w:rsidP="00AA74C8">
      <w:pPr>
        <w:ind w:left="567"/>
        <w:jc w:val="both"/>
        <w:divId w:val="781458629"/>
        <w:rPr>
          <w:rFonts w:ascii="Arial" w:hAnsi="Arial" w:cs="Arial"/>
          <w:b/>
          <w:sz w:val="20"/>
          <w:lang w:val="en-US"/>
        </w:rPr>
      </w:pPr>
    </w:p>
    <w:p w:rsidR="00AA74C8" w:rsidRPr="00AA74C8" w:rsidRDefault="00AA74C8" w:rsidP="00AA74C8">
      <w:pPr>
        <w:autoSpaceDE w:val="0"/>
        <w:autoSpaceDN w:val="0"/>
        <w:adjustRightInd w:val="0"/>
        <w:jc w:val="both"/>
        <w:divId w:val="781458629"/>
        <w:rPr>
          <w:rFonts w:ascii="Arial" w:eastAsia="Times New Roman" w:hAnsi="Arial" w:cs="Arial"/>
          <w:sz w:val="19"/>
          <w:szCs w:val="19"/>
          <w:lang w:val="en-US"/>
        </w:rPr>
      </w:pPr>
      <w:r w:rsidRPr="00AA74C8">
        <w:rPr>
          <w:rFonts w:ascii="Arial" w:hAnsi="Arial" w:cs="Arial"/>
          <w:sz w:val="20"/>
          <w:lang w:val="en-US"/>
        </w:rPr>
        <w:t xml:space="preserve">In </w:t>
      </w:r>
      <w:r w:rsidRPr="00AA74C8">
        <w:rPr>
          <w:rFonts w:ascii="Arial" w:eastAsia="Times New Roman" w:hAnsi="Arial" w:cs="Arial"/>
          <w:sz w:val="19"/>
          <w:szCs w:val="19"/>
          <w:lang w:val="en-US"/>
        </w:rPr>
        <w:t>spite of the uncertainties surrounding numerous economies, global car demand should continue to grow this year (+2 %). The European market should also show a slight positive growth (+2 %) while we continue to expect high volatility in our main emerging markets:</w:t>
      </w:r>
    </w:p>
    <w:p w:rsidR="00AA74C8" w:rsidRPr="00AA74C8" w:rsidRDefault="00AA74C8" w:rsidP="00AA74C8">
      <w:pPr>
        <w:autoSpaceDE w:val="0"/>
        <w:autoSpaceDN w:val="0"/>
        <w:adjustRightInd w:val="0"/>
        <w:jc w:val="both"/>
        <w:divId w:val="781458629"/>
        <w:rPr>
          <w:rFonts w:ascii="Arial" w:eastAsia="Times New Roman" w:hAnsi="Arial" w:cs="Arial"/>
          <w:sz w:val="19"/>
          <w:szCs w:val="19"/>
          <w:lang w:val="en-US"/>
        </w:rPr>
      </w:pPr>
      <w:r w:rsidRPr="00AA74C8">
        <w:rPr>
          <w:rFonts w:ascii="Arial" w:eastAsia="Times New Roman" w:hAnsi="Arial" w:cs="Arial"/>
          <w:sz w:val="19"/>
          <w:szCs w:val="19"/>
          <w:lang w:val="en-US"/>
        </w:rPr>
        <w:t>In this context, Renault Group aims to:</w:t>
      </w:r>
    </w:p>
    <w:p w:rsidR="00AA74C8" w:rsidRPr="00AA74C8" w:rsidRDefault="00AA74C8" w:rsidP="00AA74C8">
      <w:pPr>
        <w:autoSpaceDE w:val="0"/>
        <w:autoSpaceDN w:val="0"/>
        <w:adjustRightInd w:val="0"/>
        <w:jc w:val="both"/>
        <w:divId w:val="781458629"/>
        <w:rPr>
          <w:rFonts w:ascii="Arial" w:eastAsia="Times New Roman" w:hAnsi="Arial" w:cs="Arial"/>
          <w:sz w:val="19"/>
          <w:szCs w:val="19"/>
          <w:lang w:val="en-US"/>
        </w:rPr>
      </w:pPr>
      <w:r w:rsidRPr="00AA74C8">
        <w:rPr>
          <w:rFonts w:ascii="Arial" w:eastAsia="Times New Roman" w:hAnsi="Arial" w:cs="Arial"/>
          <w:sz w:val="19"/>
          <w:szCs w:val="19"/>
          <w:lang w:val="en-US"/>
        </w:rPr>
        <w:tab/>
        <w:t>- increase further its registrations and revenues (at constant exchange rates),</w:t>
      </w:r>
    </w:p>
    <w:p w:rsidR="00AA74C8" w:rsidRPr="00AA74C8" w:rsidRDefault="00C137F0" w:rsidP="00AA74C8">
      <w:pPr>
        <w:autoSpaceDE w:val="0"/>
        <w:autoSpaceDN w:val="0"/>
        <w:adjustRightInd w:val="0"/>
        <w:jc w:val="both"/>
        <w:divId w:val="781458629"/>
        <w:rPr>
          <w:rFonts w:ascii="Arial" w:eastAsia="Times New Roman" w:hAnsi="Arial" w:cs="Arial"/>
          <w:sz w:val="19"/>
          <w:szCs w:val="19"/>
          <w:lang w:val="en-US"/>
        </w:rPr>
      </w:pPr>
      <w:r>
        <w:rPr>
          <w:rFonts w:ascii="Arial" w:eastAsia="Times New Roman" w:hAnsi="Arial" w:cs="Arial"/>
          <w:sz w:val="19"/>
          <w:szCs w:val="19"/>
          <w:lang w:val="en-US"/>
        </w:rPr>
        <w:tab/>
        <w:t>- continue to improve</w:t>
      </w:r>
      <w:r w:rsidR="00AA74C8" w:rsidRPr="00AA74C8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val="en-US"/>
        </w:rPr>
        <w:t xml:space="preserve">the </w:t>
      </w:r>
      <w:r w:rsidR="000E6F5B">
        <w:rPr>
          <w:rFonts w:ascii="Arial" w:eastAsia="Times New Roman" w:hAnsi="Arial" w:cs="Arial"/>
          <w:sz w:val="19"/>
          <w:szCs w:val="19"/>
          <w:lang w:val="en-US"/>
        </w:rPr>
        <w:t>G</w:t>
      </w:r>
      <w:bookmarkStart w:id="0" w:name="_GoBack"/>
      <w:bookmarkEnd w:id="0"/>
      <w:r w:rsidR="00AA74C8" w:rsidRPr="00AA74C8">
        <w:rPr>
          <w:rFonts w:ascii="Arial" w:eastAsia="Times New Roman" w:hAnsi="Arial" w:cs="Arial"/>
          <w:sz w:val="19"/>
          <w:szCs w:val="19"/>
          <w:lang w:val="en-US"/>
        </w:rPr>
        <w:t>rou</w:t>
      </w:r>
      <w:r>
        <w:rPr>
          <w:rFonts w:ascii="Arial" w:eastAsia="Times New Roman" w:hAnsi="Arial" w:cs="Arial"/>
          <w:sz w:val="19"/>
          <w:szCs w:val="19"/>
          <w:lang w:val="en-US"/>
        </w:rPr>
        <w:t>p’s operating margin</w:t>
      </w:r>
      <w:r w:rsidR="00AA74C8" w:rsidRPr="00AA74C8">
        <w:rPr>
          <w:rFonts w:ascii="Arial" w:eastAsia="Times New Roman" w:hAnsi="Arial" w:cs="Arial"/>
          <w:sz w:val="19"/>
          <w:szCs w:val="19"/>
          <w:lang w:val="en-US"/>
        </w:rPr>
        <w:t xml:space="preserve"> and that of the </w:t>
      </w:r>
      <w:proofErr w:type="gramStart"/>
      <w:r w:rsidR="00AA74C8" w:rsidRPr="00AA74C8">
        <w:rPr>
          <w:rFonts w:ascii="Arial" w:eastAsia="Times New Roman" w:hAnsi="Arial" w:cs="Arial"/>
          <w:sz w:val="19"/>
          <w:szCs w:val="19"/>
          <w:lang w:val="en-US"/>
        </w:rPr>
        <w:t>Automotive</w:t>
      </w:r>
      <w:proofErr w:type="gramEnd"/>
      <w:r w:rsidR="00AA74C8" w:rsidRPr="00AA74C8">
        <w:rPr>
          <w:rFonts w:ascii="Arial" w:eastAsia="Times New Roman" w:hAnsi="Arial" w:cs="Arial"/>
          <w:sz w:val="19"/>
          <w:szCs w:val="19"/>
          <w:lang w:val="en-US"/>
        </w:rPr>
        <w:t xml:space="preserve"> division,</w:t>
      </w:r>
    </w:p>
    <w:p w:rsidR="00AA74C8" w:rsidRDefault="00C137F0" w:rsidP="00AA74C8">
      <w:pPr>
        <w:autoSpaceDE w:val="0"/>
        <w:autoSpaceDN w:val="0"/>
        <w:adjustRightInd w:val="0"/>
        <w:jc w:val="both"/>
        <w:divId w:val="781458629"/>
        <w:rPr>
          <w:rFonts w:ascii="Arial" w:eastAsia="Times New Roman" w:hAnsi="Arial" w:cs="Arial"/>
          <w:sz w:val="19"/>
          <w:szCs w:val="19"/>
          <w:lang w:val="en-US"/>
        </w:rPr>
      </w:pPr>
      <w:r>
        <w:rPr>
          <w:rFonts w:ascii="Arial" w:eastAsia="Times New Roman" w:hAnsi="Arial" w:cs="Arial"/>
          <w:sz w:val="19"/>
          <w:szCs w:val="19"/>
          <w:lang w:val="en-US"/>
        </w:rPr>
        <w:tab/>
        <w:t>- generate</w:t>
      </w:r>
      <w:r w:rsidR="00AA74C8" w:rsidRPr="00AA74C8">
        <w:rPr>
          <w:rFonts w:ascii="Arial" w:eastAsia="Times New Roman" w:hAnsi="Arial" w:cs="Arial"/>
          <w:sz w:val="19"/>
          <w:szCs w:val="19"/>
          <w:lang w:val="en-US"/>
        </w:rPr>
        <w:t xml:space="preserve"> positive </w:t>
      </w:r>
      <w:proofErr w:type="gramStart"/>
      <w:r w:rsidR="00AA74C8" w:rsidRPr="00AA74C8">
        <w:rPr>
          <w:rFonts w:ascii="Arial" w:eastAsia="Times New Roman" w:hAnsi="Arial" w:cs="Arial"/>
          <w:sz w:val="19"/>
          <w:szCs w:val="19"/>
          <w:lang w:val="en-US"/>
        </w:rPr>
        <w:t>Automotive</w:t>
      </w:r>
      <w:proofErr w:type="gramEnd"/>
      <w:r w:rsidR="00AA74C8" w:rsidRPr="00AA74C8">
        <w:rPr>
          <w:rFonts w:ascii="Arial" w:eastAsia="Times New Roman" w:hAnsi="Arial" w:cs="Arial"/>
          <w:sz w:val="19"/>
          <w:szCs w:val="19"/>
          <w:lang w:val="en-US"/>
        </w:rPr>
        <w:t xml:space="preserve"> operational free cash flow. </w:t>
      </w:r>
    </w:p>
    <w:p w:rsidR="002537EB" w:rsidRPr="00AA74C8" w:rsidRDefault="002537EB" w:rsidP="00AA74C8">
      <w:pPr>
        <w:autoSpaceDE w:val="0"/>
        <w:autoSpaceDN w:val="0"/>
        <w:adjustRightInd w:val="0"/>
        <w:jc w:val="both"/>
        <w:divId w:val="781458629"/>
        <w:rPr>
          <w:rFonts w:ascii="Arial" w:eastAsia="Times New Roman" w:hAnsi="Arial" w:cs="Arial"/>
          <w:sz w:val="19"/>
          <w:szCs w:val="19"/>
          <w:lang w:val="en-US"/>
        </w:rPr>
      </w:pPr>
    </w:p>
    <w:p w:rsidR="00AA74C8" w:rsidRPr="001824C1" w:rsidRDefault="00AA74C8" w:rsidP="00AA74C8">
      <w:pPr>
        <w:pStyle w:val="Titre8"/>
        <w:spacing w:after="0" w:line="280" w:lineRule="exact"/>
        <w:ind w:right="474"/>
        <w:jc w:val="both"/>
        <w:divId w:val="781458629"/>
        <w:rPr>
          <w:rFonts w:ascii="Arial" w:hAnsi="Arial" w:cs="Arial"/>
          <w:b/>
          <w:i w:val="0"/>
          <w:caps/>
          <w:sz w:val="20"/>
          <w:szCs w:val="20"/>
        </w:rPr>
      </w:pPr>
      <w:r>
        <w:rPr>
          <w:rFonts w:ascii="Arial" w:hAnsi="Arial" w:cs="Arial"/>
          <w:b/>
          <w:i w:val="0"/>
          <w:caps/>
          <w:sz w:val="20"/>
          <w:szCs w:val="20"/>
        </w:rPr>
        <w:t>Renault consolidated Results</w:t>
      </w:r>
    </w:p>
    <w:tbl>
      <w:tblPr>
        <w:tblW w:w="9781" w:type="dxa"/>
        <w:tblInd w:w="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701"/>
        <w:gridCol w:w="1701"/>
      </w:tblGrid>
      <w:tr w:rsidR="00AA74C8" w:rsidTr="00AA74C8">
        <w:trPr>
          <w:divId w:val="781458629"/>
          <w:trHeight w:val="320"/>
        </w:trPr>
        <w:tc>
          <w:tcPr>
            <w:tcW w:w="4678" w:type="dxa"/>
            <w:shd w:val="clear" w:color="auto" w:fill="C0C0C0"/>
          </w:tcPr>
          <w:p w:rsidR="00AA74C8" w:rsidRPr="00993BA9" w:rsidRDefault="00AA74C8" w:rsidP="00243B52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€ million</w:t>
            </w:r>
          </w:p>
        </w:tc>
        <w:tc>
          <w:tcPr>
            <w:tcW w:w="1701" w:type="dxa"/>
            <w:shd w:val="clear" w:color="auto" w:fill="C0C0C0"/>
          </w:tcPr>
          <w:p w:rsidR="00AA74C8" w:rsidRPr="000D21D9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2014</w:t>
            </w:r>
          </w:p>
        </w:tc>
        <w:tc>
          <w:tcPr>
            <w:tcW w:w="1701" w:type="dxa"/>
            <w:shd w:val="clear" w:color="auto" w:fill="C0C0C0"/>
          </w:tcPr>
          <w:p w:rsidR="00AA74C8" w:rsidRPr="000D21D9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2013</w:t>
            </w:r>
          </w:p>
        </w:tc>
        <w:tc>
          <w:tcPr>
            <w:tcW w:w="1701" w:type="dxa"/>
            <w:shd w:val="clear" w:color="auto" w:fill="C0C0C0"/>
          </w:tcPr>
          <w:p w:rsidR="00AA74C8" w:rsidRPr="000D21D9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Change</w:t>
            </w:r>
          </w:p>
        </w:tc>
      </w:tr>
      <w:tr w:rsidR="00AA74C8" w:rsidRPr="002300D0" w:rsidTr="00AA74C8">
        <w:trPr>
          <w:divId w:val="781458629"/>
        </w:trPr>
        <w:tc>
          <w:tcPr>
            <w:tcW w:w="4678" w:type="dxa"/>
          </w:tcPr>
          <w:p w:rsidR="00AA74C8" w:rsidRPr="00993BA9" w:rsidRDefault="00AA74C8" w:rsidP="00243B52">
            <w:pPr>
              <w:tabs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 w:right="21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Group revenues</w:t>
            </w:r>
          </w:p>
        </w:tc>
        <w:tc>
          <w:tcPr>
            <w:tcW w:w="1701" w:type="dxa"/>
            <w:shd w:val="clear" w:color="auto" w:fill="CCFFFF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41,055</w:t>
            </w:r>
          </w:p>
        </w:tc>
        <w:tc>
          <w:tcPr>
            <w:tcW w:w="1701" w:type="dxa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40,932</w:t>
            </w:r>
          </w:p>
        </w:tc>
        <w:tc>
          <w:tcPr>
            <w:tcW w:w="1701" w:type="dxa"/>
          </w:tcPr>
          <w:p w:rsidR="00AA74C8" w:rsidRPr="005F54D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+0.</w:t>
            </w:r>
            <w:r w:rsidRPr="005F54D2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 </w:t>
            </w:r>
            <w:r w:rsidRPr="005F54D2">
              <w:rPr>
                <w:rFonts w:ascii="Arial" w:hAnsi="Arial" w:cs="Arial"/>
                <w:b/>
                <w:i/>
                <w:sz w:val="16"/>
                <w:szCs w:val="16"/>
              </w:rPr>
              <w:t>%</w:t>
            </w:r>
          </w:p>
        </w:tc>
      </w:tr>
      <w:tr w:rsidR="00AA74C8" w:rsidRPr="002300D0" w:rsidTr="00AA74C8">
        <w:trPr>
          <w:divId w:val="781458629"/>
        </w:trPr>
        <w:tc>
          <w:tcPr>
            <w:tcW w:w="4678" w:type="dxa"/>
          </w:tcPr>
          <w:p w:rsidR="00AA74C8" w:rsidRDefault="00AA74C8" w:rsidP="00243B52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 w:right="21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Operating profit</w:t>
            </w:r>
          </w:p>
          <w:p w:rsidR="00AA74C8" w:rsidRPr="007511A2" w:rsidRDefault="00AA74C8" w:rsidP="00AA74C8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 w:right="212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511A2">
              <w:rPr>
                <w:rFonts w:ascii="Arial" w:hAnsi="Arial" w:cs="Arial"/>
                <w:i/>
                <w:iCs/>
                <w:sz w:val="18"/>
                <w:szCs w:val="18"/>
              </w:rPr>
              <w:t>%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 revenues</w:t>
            </w:r>
          </w:p>
        </w:tc>
        <w:tc>
          <w:tcPr>
            <w:tcW w:w="1701" w:type="dxa"/>
            <w:shd w:val="clear" w:color="auto" w:fill="CCFFFF"/>
          </w:tcPr>
          <w:p w:rsidR="00AA74C8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1,609</w:t>
            </w:r>
          </w:p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3.9 %</w:t>
            </w:r>
          </w:p>
        </w:tc>
        <w:tc>
          <w:tcPr>
            <w:tcW w:w="1701" w:type="dxa"/>
          </w:tcPr>
          <w:p w:rsidR="00AA74C8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1,242</w:t>
            </w:r>
          </w:p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3.0 %</w:t>
            </w:r>
          </w:p>
        </w:tc>
        <w:tc>
          <w:tcPr>
            <w:tcW w:w="1701" w:type="dxa"/>
          </w:tcPr>
          <w:p w:rsidR="00AA74C8" w:rsidRPr="005F54D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54D2">
              <w:rPr>
                <w:rFonts w:ascii="Arial" w:hAnsi="Arial" w:cs="Arial"/>
                <w:b/>
                <w:i/>
                <w:sz w:val="16"/>
                <w:szCs w:val="16"/>
              </w:rPr>
              <w:t>+367</w:t>
            </w:r>
          </w:p>
          <w:p w:rsidR="00AA74C8" w:rsidRPr="005F54D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+0.9pts</w:t>
            </w:r>
          </w:p>
        </w:tc>
      </w:tr>
      <w:tr w:rsidR="00AA74C8" w:rsidRPr="00271E37" w:rsidTr="00AA74C8">
        <w:trPr>
          <w:divId w:val="781458629"/>
        </w:trPr>
        <w:tc>
          <w:tcPr>
            <w:tcW w:w="4678" w:type="dxa"/>
          </w:tcPr>
          <w:p w:rsidR="00AA74C8" w:rsidRPr="00AA74C8" w:rsidRDefault="00AA74C8" w:rsidP="00AA74C8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A74C8">
              <w:rPr>
                <w:rFonts w:ascii="Arial" w:hAnsi="Arial" w:cs="Arial"/>
                <w:b/>
                <w:sz w:val="18"/>
                <w:szCs w:val="18"/>
                <w:lang w:val="en-US"/>
              </w:rPr>
              <w:t>Other operating income and expenses items</w:t>
            </w:r>
          </w:p>
        </w:tc>
        <w:tc>
          <w:tcPr>
            <w:tcW w:w="1701" w:type="dxa"/>
            <w:shd w:val="clear" w:color="auto" w:fill="CCFFFF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-504</w:t>
            </w:r>
          </w:p>
        </w:tc>
        <w:tc>
          <w:tcPr>
            <w:tcW w:w="1701" w:type="dxa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-1,276</w:t>
            </w:r>
          </w:p>
        </w:tc>
        <w:tc>
          <w:tcPr>
            <w:tcW w:w="1701" w:type="dxa"/>
          </w:tcPr>
          <w:p w:rsidR="00AA74C8" w:rsidRPr="005F54D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54D2">
              <w:rPr>
                <w:rFonts w:ascii="Arial" w:hAnsi="Arial" w:cs="Arial"/>
                <w:b/>
                <w:i/>
                <w:sz w:val="16"/>
                <w:szCs w:val="16"/>
              </w:rPr>
              <w:t>+772</w:t>
            </w:r>
          </w:p>
        </w:tc>
      </w:tr>
      <w:tr w:rsidR="00AA74C8" w:rsidRPr="00271E37" w:rsidTr="00AA74C8">
        <w:trPr>
          <w:divId w:val="781458629"/>
        </w:trPr>
        <w:tc>
          <w:tcPr>
            <w:tcW w:w="4678" w:type="dxa"/>
          </w:tcPr>
          <w:p w:rsidR="00AA74C8" w:rsidRPr="00993BA9" w:rsidRDefault="00AA74C8" w:rsidP="00243B52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Operating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income</w:t>
            </w:r>
            <w:proofErr w:type="spellEnd"/>
          </w:p>
        </w:tc>
        <w:tc>
          <w:tcPr>
            <w:tcW w:w="1701" w:type="dxa"/>
            <w:shd w:val="clear" w:color="auto" w:fill="CCFFFF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1,105</w:t>
            </w:r>
          </w:p>
        </w:tc>
        <w:tc>
          <w:tcPr>
            <w:tcW w:w="1701" w:type="dxa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-34</w:t>
            </w:r>
          </w:p>
        </w:tc>
        <w:tc>
          <w:tcPr>
            <w:tcW w:w="1701" w:type="dxa"/>
          </w:tcPr>
          <w:p w:rsidR="00AA74C8" w:rsidRPr="005F54D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+1,</w:t>
            </w:r>
            <w:r w:rsidRPr="005F54D2">
              <w:rPr>
                <w:rFonts w:ascii="Arial" w:hAnsi="Arial" w:cs="Arial"/>
                <w:b/>
                <w:i/>
                <w:sz w:val="16"/>
                <w:szCs w:val="16"/>
              </w:rPr>
              <w:t>139</w:t>
            </w:r>
          </w:p>
        </w:tc>
      </w:tr>
      <w:tr w:rsidR="00AA74C8" w:rsidTr="00AA74C8">
        <w:trPr>
          <w:divId w:val="781458629"/>
        </w:trPr>
        <w:tc>
          <w:tcPr>
            <w:tcW w:w="4678" w:type="dxa"/>
          </w:tcPr>
          <w:p w:rsidR="00AA74C8" w:rsidRPr="00993BA9" w:rsidRDefault="00AA74C8" w:rsidP="00243B52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financial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income</w:t>
            </w:r>
            <w:proofErr w:type="spellEnd"/>
          </w:p>
        </w:tc>
        <w:tc>
          <w:tcPr>
            <w:tcW w:w="1701" w:type="dxa"/>
            <w:shd w:val="clear" w:color="auto" w:fill="CCFFFF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-333</w:t>
            </w:r>
          </w:p>
        </w:tc>
        <w:tc>
          <w:tcPr>
            <w:tcW w:w="1701" w:type="dxa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-282</w:t>
            </w:r>
          </w:p>
        </w:tc>
        <w:tc>
          <w:tcPr>
            <w:tcW w:w="1701" w:type="dxa"/>
          </w:tcPr>
          <w:p w:rsidR="00AA74C8" w:rsidRPr="005F54D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54D2">
              <w:rPr>
                <w:rFonts w:ascii="Arial" w:hAnsi="Arial" w:cs="Arial"/>
                <w:b/>
                <w:i/>
                <w:sz w:val="16"/>
                <w:szCs w:val="16"/>
              </w:rPr>
              <w:t>-51</w:t>
            </w:r>
          </w:p>
        </w:tc>
      </w:tr>
      <w:tr w:rsidR="002C49F4" w:rsidTr="00AA74C8">
        <w:trPr>
          <w:divId w:val="781458629"/>
        </w:trPr>
        <w:tc>
          <w:tcPr>
            <w:tcW w:w="4678" w:type="dxa"/>
          </w:tcPr>
          <w:p w:rsidR="002C49F4" w:rsidRDefault="002C49F4" w:rsidP="00243B52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</w:tcPr>
          <w:p w:rsidR="002C49F4" w:rsidRDefault="002C49F4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C49F4" w:rsidRDefault="002C49F4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C49F4" w:rsidRDefault="002C49F4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A74C8" w:rsidTr="00AA74C8">
        <w:trPr>
          <w:divId w:val="781458629"/>
        </w:trPr>
        <w:tc>
          <w:tcPr>
            <w:tcW w:w="4678" w:type="dxa"/>
          </w:tcPr>
          <w:p w:rsidR="00AA74C8" w:rsidRPr="00C132B3" w:rsidRDefault="00AA74C8" w:rsidP="00243B52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Contribution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from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associated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companies</w:t>
            </w:r>
            <w:proofErr w:type="spellEnd"/>
          </w:p>
        </w:tc>
        <w:tc>
          <w:tcPr>
            <w:tcW w:w="1701" w:type="dxa"/>
            <w:shd w:val="clear" w:color="auto" w:fill="CCFFFF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1,362</w:t>
            </w:r>
          </w:p>
        </w:tc>
        <w:tc>
          <w:tcPr>
            <w:tcW w:w="1701" w:type="dxa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1,444</w:t>
            </w:r>
          </w:p>
        </w:tc>
        <w:tc>
          <w:tcPr>
            <w:tcW w:w="1701" w:type="dxa"/>
          </w:tcPr>
          <w:p w:rsidR="00AA74C8" w:rsidRPr="005F54D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-82</w:t>
            </w:r>
          </w:p>
        </w:tc>
      </w:tr>
      <w:tr w:rsidR="00AA74C8" w:rsidRPr="00873E41" w:rsidTr="00AA74C8">
        <w:trPr>
          <w:divId w:val="781458629"/>
        </w:trPr>
        <w:tc>
          <w:tcPr>
            <w:tcW w:w="4678" w:type="dxa"/>
          </w:tcPr>
          <w:p w:rsidR="00AA74C8" w:rsidRPr="004D3622" w:rsidRDefault="00AA74C8" w:rsidP="00243B52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 w:right="21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o/w</w:t>
            </w:r>
            <w:r w:rsidRPr="004D3622">
              <w:rPr>
                <w:rFonts w:ascii="Arial" w:hAnsi="Arial" w:cs="Arial"/>
                <w:i/>
                <w:iCs/>
                <w:sz w:val="18"/>
                <w:szCs w:val="18"/>
              </w:rPr>
              <w:t> : NISSAN</w:t>
            </w:r>
          </w:p>
        </w:tc>
        <w:tc>
          <w:tcPr>
            <w:tcW w:w="1701" w:type="dxa"/>
            <w:shd w:val="clear" w:color="auto" w:fill="CCFFFF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1,559</w:t>
            </w:r>
          </w:p>
        </w:tc>
        <w:tc>
          <w:tcPr>
            <w:tcW w:w="1701" w:type="dxa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1,498</w:t>
            </w:r>
          </w:p>
        </w:tc>
        <w:tc>
          <w:tcPr>
            <w:tcW w:w="1701" w:type="dxa"/>
          </w:tcPr>
          <w:p w:rsidR="00AA74C8" w:rsidRPr="005F54D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+61</w:t>
            </w:r>
          </w:p>
        </w:tc>
      </w:tr>
      <w:tr w:rsidR="00AA74C8" w:rsidTr="00AA74C8">
        <w:trPr>
          <w:divId w:val="781458629"/>
        </w:trPr>
        <w:tc>
          <w:tcPr>
            <w:tcW w:w="4678" w:type="dxa"/>
          </w:tcPr>
          <w:p w:rsidR="00AA74C8" w:rsidRPr="004D3622" w:rsidRDefault="00AA74C8" w:rsidP="00243B52">
            <w:pPr>
              <w:tabs>
                <w:tab w:val="left" w:pos="270"/>
                <w:tab w:val="left" w:pos="360"/>
                <w:tab w:val="left" w:pos="720"/>
                <w:tab w:val="left" w:pos="922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1060" w:right="21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36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AVTOVAZ</w:t>
            </w:r>
          </w:p>
        </w:tc>
        <w:tc>
          <w:tcPr>
            <w:tcW w:w="1701" w:type="dxa"/>
            <w:shd w:val="clear" w:color="auto" w:fill="CCFFFF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-182</w:t>
            </w:r>
          </w:p>
        </w:tc>
        <w:tc>
          <w:tcPr>
            <w:tcW w:w="1701" w:type="dxa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-34</w:t>
            </w:r>
          </w:p>
        </w:tc>
        <w:tc>
          <w:tcPr>
            <w:tcW w:w="1701" w:type="dxa"/>
          </w:tcPr>
          <w:p w:rsidR="00AA74C8" w:rsidRPr="005F54D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-148</w:t>
            </w:r>
          </w:p>
        </w:tc>
      </w:tr>
      <w:tr w:rsidR="002C49F4" w:rsidTr="00AA74C8">
        <w:trPr>
          <w:divId w:val="781458629"/>
        </w:trPr>
        <w:tc>
          <w:tcPr>
            <w:tcW w:w="4678" w:type="dxa"/>
          </w:tcPr>
          <w:p w:rsidR="002C49F4" w:rsidRPr="004D3622" w:rsidRDefault="002C49F4" w:rsidP="00243B52">
            <w:pPr>
              <w:tabs>
                <w:tab w:val="left" w:pos="270"/>
                <w:tab w:val="left" w:pos="360"/>
                <w:tab w:val="left" w:pos="720"/>
                <w:tab w:val="left" w:pos="922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1060" w:right="21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</w:tcPr>
          <w:p w:rsidR="002C49F4" w:rsidRDefault="002C49F4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C49F4" w:rsidRDefault="002C49F4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C49F4" w:rsidRDefault="002C49F4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A74C8" w:rsidTr="00AA74C8">
        <w:trPr>
          <w:divId w:val="781458629"/>
        </w:trPr>
        <w:tc>
          <w:tcPr>
            <w:tcW w:w="4678" w:type="dxa"/>
          </w:tcPr>
          <w:p w:rsidR="00AA74C8" w:rsidRPr="00144C21" w:rsidRDefault="00AA74C8" w:rsidP="00243B52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 w:right="212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Current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deferred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taxes</w:t>
            </w:r>
          </w:p>
        </w:tc>
        <w:tc>
          <w:tcPr>
            <w:tcW w:w="1701" w:type="dxa"/>
            <w:shd w:val="clear" w:color="auto" w:fill="CCFFFF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-136</w:t>
            </w:r>
          </w:p>
        </w:tc>
        <w:tc>
          <w:tcPr>
            <w:tcW w:w="1701" w:type="dxa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-433</w:t>
            </w:r>
          </w:p>
        </w:tc>
        <w:tc>
          <w:tcPr>
            <w:tcW w:w="1701" w:type="dxa"/>
          </w:tcPr>
          <w:p w:rsidR="00AA74C8" w:rsidRPr="005F54D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+297</w:t>
            </w:r>
          </w:p>
        </w:tc>
      </w:tr>
      <w:tr w:rsidR="00AA74C8" w:rsidRPr="00BA19C9" w:rsidTr="00AA74C8">
        <w:trPr>
          <w:divId w:val="781458629"/>
        </w:trPr>
        <w:tc>
          <w:tcPr>
            <w:tcW w:w="4678" w:type="dxa"/>
          </w:tcPr>
          <w:p w:rsidR="00AA74C8" w:rsidRPr="00993BA9" w:rsidRDefault="00AA74C8" w:rsidP="00243B52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income</w:t>
            </w:r>
            <w:proofErr w:type="spellEnd"/>
          </w:p>
        </w:tc>
        <w:tc>
          <w:tcPr>
            <w:tcW w:w="1701" w:type="dxa"/>
            <w:shd w:val="clear" w:color="auto" w:fill="CCFFFF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1,998</w:t>
            </w:r>
          </w:p>
        </w:tc>
        <w:tc>
          <w:tcPr>
            <w:tcW w:w="1701" w:type="dxa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695</w:t>
            </w:r>
          </w:p>
        </w:tc>
        <w:tc>
          <w:tcPr>
            <w:tcW w:w="1701" w:type="dxa"/>
          </w:tcPr>
          <w:p w:rsidR="00AA74C8" w:rsidRPr="005F54D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+1,303</w:t>
            </w:r>
          </w:p>
        </w:tc>
      </w:tr>
      <w:tr w:rsidR="00AA74C8" w:rsidRPr="00BA19C9" w:rsidTr="00AA74C8">
        <w:trPr>
          <w:divId w:val="781458629"/>
        </w:trPr>
        <w:tc>
          <w:tcPr>
            <w:tcW w:w="4678" w:type="dxa"/>
          </w:tcPr>
          <w:p w:rsidR="00AA74C8" w:rsidRPr="00993BA9" w:rsidRDefault="00AA74C8" w:rsidP="00243B52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income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Group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share</w:t>
            </w:r>
            <w:proofErr w:type="spellEnd"/>
          </w:p>
        </w:tc>
        <w:tc>
          <w:tcPr>
            <w:tcW w:w="1701" w:type="dxa"/>
            <w:shd w:val="clear" w:color="auto" w:fill="CCFFFF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1,890</w:t>
            </w:r>
          </w:p>
        </w:tc>
        <w:tc>
          <w:tcPr>
            <w:tcW w:w="1701" w:type="dxa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586</w:t>
            </w:r>
          </w:p>
        </w:tc>
        <w:tc>
          <w:tcPr>
            <w:tcW w:w="1701" w:type="dxa"/>
          </w:tcPr>
          <w:p w:rsidR="00AA74C8" w:rsidRPr="005F54D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+1,304</w:t>
            </w:r>
          </w:p>
        </w:tc>
      </w:tr>
      <w:tr w:rsidR="00AA74C8" w:rsidRPr="00BA19C9" w:rsidTr="00AA74C8">
        <w:trPr>
          <w:divId w:val="781458629"/>
        </w:trPr>
        <w:tc>
          <w:tcPr>
            <w:tcW w:w="4678" w:type="dxa"/>
          </w:tcPr>
          <w:p w:rsidR="00AA74C8" w:rsidRPr="00AA74C8" w:rsidRDefault="00AA74C8" w:rsidP="00AA74C8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A74C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Automotive operational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</w:t>
            </w:r>
            <w:r w:rsidRPr="00AA74C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ree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cash f</w:t>
            </w:r>
            <w:r w:rsidRPr="00AA74C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low </w:t>
            </w:r>
          </w:p>
        </w:tc>
        <w:tc>
          <w:tcPr>
            <w:tcW w:w="1701" w:type="dxa"/>
            <w:shd w:val="clear" w:color="auto" w:fill="CCFFFF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1,083</w:t>
            </w:r>
          </w:p>
        </w:tc>
        <w:tc>
          <w:tcPr>
            <w:tcW w:w="1701" w:type="dxa"/>
          </w:tcPr>
          <w:p w:rsidR="00AA74C8" w:rsidRPr="004D362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827</w:t>
            </w:r>
          </w:p>
        </w:tc>
        <w:tc>
          <w:tcPr>
            <w:tcW w:w="1701" w:type="dxa"/>
          </w:tcPr>
          <w:p w:rsidR="00AA74C8" w:rsidRPr="005F54D2" w:rsidRDefault="00AA74C8" w:rsidP="00243B5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+256</w:t>
            </w:r>
          </w:p>
        </w:tc>
      </w:tr>
    </w:tbl>
    <w:p w:rsidR="00AA74C8" w:rsidRDefault="00AA74C8" w:rsidP="00AA74C8">
      <w:pPr>
        <w:spacing w:after="120"/>
        <w:ind w:left="539"/>
        <w:divId w:val="781458629"/>
        <w:rPr>
          <w:rFonts w:ascii="Arial" w:hAnsi="Arial" w:cs="Arial"/>
          <w:b/>
          <w:iCs/>
          <w:caps/>
          <w:sz w:val="20"/>
          <w:lang w:val="en-US"/>
        </w:rPr>
      </w:pPr>
    </w:p>
    <w:p w:rsidR="00AA74C8" w:rsidRPr="00280709" w:rsidRDefault="00AA74C8" w:rsidP="00555FF5">
      <w:pPr>
        <w:spacing w:after="120"/>
        <w:divId w:val="781458629"/>
        <w:rPr>
          <w:rFonts w:ascii="Arial" w:hAnsi="Arial" w:cs="Arial"/>
          <w:b/>
          <w:iCs/>
          <w:caps/>
          <w:sz w:val="20"/>
          <w:lang w:val="en-US"/>
        </w:rPr>
      </w:pPr>
      <w:r w:rsidRPr="00027C83">
        <w:rPr>
          <w:rFonts w:ascii="Arial" w:hAnsi="Arial" w:cs="Arial"/>
          <w:b/>
          <w:iCs/>
          <w:caps/>
          <w:sz w:val="20"/>
          <w:lang w:val="en-US"/>
        </w:rPr>
        <w:t>ADDITIONAL INFORMATION</w:t>
      </w:r>
    </w:p>
    <w:p w:rsidR="00AA74C8" w:rsidRPr="00280709" w:rsidRDefault="00AA74C8" w:rsidP="00555FF5">
      <w:pPr>
        <w:jc w:val="both"/>
        <w:divId w:val="781458629"/>
        <w:rPr>
          <w:rFonts w:ascii="Arial" w:hAnsi="Arial" w:cs="Arial"/>
          <w:sz w:val="20"/>
          <w:lang w:val="en-US"/>
        </w:rPr>
      </w:pPr>
      <w:r w:rsidRPr="00280709">
        <w:rPr>
          <w:rFonts w:ascii="Arial" w:hAnsi="Arial" w:cs="Arial"/>
          <w:sz w:val="20"/>
          <w:lang w:val="en-US"/>
        </w:rPr>
        <w:t xml:space="preserve">The consolidated financial statements of the Renault group </w:t>
      </w:r>
      <w:r>
        <w:rPr>
          <w:rFonts w:ascii="Arial" w:hAnsi="Arial" w:cs="Arial"/>
          <w:sz w:val="20"/>
          <w:lang w:val="en-US"/>
        </w:rPr>
        <w:t>at December 31, 2014</w:t>
      </w:r>
      <w:r w:rsidRPr="00065FF2">
        <w:rPr>
          <w:rFonts w:ascii="Arial" w:hAnsi="Arial" w:cs="Arial"/>
          <w:sz w:val="20"/>
          <w:lang w:val="en-US"/>
        </w:rPr>
        <w:t xml:space="preserve"> were</w:t>
      </w:r>
      <w:r w:rsidRPr="00280709">
        <w:rPr>
          <w:rFonts w:ascii="Arial" w:hAnsi="Arial" w:cs="Arial"/>
          <w:sz w:val="20"/>
          <w:lang w:val="en-US"/>
        </w:rPr>
        <w:t xml:space="preserve"> approved by the Board of Directors on </w:t>
      </w:r>
      <w:r>
        <w:rPr>
          <w:rFonts w:ascii="Arial" w:hAnsi="Arial" w:cs="Arial"/>
          <w:sz w:val="20"/>
          <w:lang w:val="en-US"/>
        </w:rPr>
        <w:t>February 11, 2015</w:t>
      </w:r>
      <w:r w:rsidRPr="00065FF2">
        <w:rPr>
          <w:rFonts w:ascii="Arial" w:hAnsi="Arial" w:cs="Arial"/>
          <w:sz w:val="20"/>
          <w:lang w:val="en-US"/>
        </w:rPr>
        <w:t>. The Group’s</w:t>
      </w:r>
      <w:r w:rsidRPr="00280709">
        <w:rPr>
          <w:rFonts w:ascii="Arial" w:hAnsi="Arial" w:cs="Arial"/>
          <w:sz w:val="20"/>
          <w:lang w:val="en-US"/>
        </w:rPr>
        <w:t xml:space="preserve"> statutory auditors have conducted a limited review of these financial statements and their report will be issued shortly. The </w:t>
      </w:r>
      <w:r>
        <w:rPr>
          <w:rFonts w:ascii="Arial" w:hAnsi="Arial" w:cs="Arial"/>
          <w:sz w:val="20"/>
          <w:lang w:val="en-US"/>
        </w:rPr>
        <w:t>earnings</w:t>
      </w:r>
      <w:r w:rsidRPr="00280709">
        <w:rPr>
          <w:rFonts w:ascii="Arial" w:hAnsi="Arial" w:cs="Arial"/>
          <w:sz w:val="20"/>
          <w:lang w:val="en-US"/>
        </w:rPr>
        <w:t xml:space="preserve"> report, with a complete analysis </w:t>
      </w:r>
      <w:r>
        <w:rPr>
          <w:rFonts w:ascii="Arial" w:hAnsi="Arial" w:cs="Arial"/>
          <w:sz w:val="20"/>
          <w:lang w:val="en-US"/>
        </w:rPr>
        <w:t>of the financial results in 2014</w:t>
      </w:r>
      <w:r w:rsidRPr="00280709">
        <w:rPr>
          <w:rFonts w:ascii="Arial" w:hAnsi="Arial" w:cs="Arial"/>
          <w:sz w:val="20"/>
          <w:lang w:val="en-US"/>
        </w:rPr>
        <w:t>, is available at</w:t>
      </w:r>
      <w:r w:rsidRPr="00027C83">
        <w:rPr>
          <w:rFonts w:ascii="Arial" w:hAnsi="Arial" w:cs="Arial"/>
          <w:sz w:val="20"/>
          <w:lang w:val="en-US"/>
        </w:rPr>
        <w:t> </w:t>
      </w:r>
      <w:hyperlink r:id="rId10" w:history="1">
        <w:r w:rsidRPr="00027C83">
          <w:rPr>
            <w:rFonts w:ascii="Arial" w:hAnsi="Arial" w:cs="Arial"/>
            <w:sz w:val="20"/>
            <w:lang w:val="en-US"/>
          </w:rPr>
          <w:t>www.renault.com</w:t>
        </w:r>
      </w:hyperlink>
      <w:r w:rsidRPr="00027C83">
        <w:rPr>
          <w:rFonts w:ascii="Arial" w:hAnsi="Arial" w:cs="Arial"/>
          <w:sz w:val="20"/>
          <w:lang w:val="en-US"/>
        </w:rPr>
        <w:t> </w:t>
      </w:r>
      <w:r w:rsidRPr="00280709">
        <w:rPr>
          <w:rFonts w:ascii="Arial" w:hAnsi="Arial" w:cs="Arial"/>
          <w:sz w:val="20"/>
          <w:lang w:val="en-US"/>
        </w:rPr>
        <w:t>in the Finance section.</w:t>
      </w:r>
    </w:p>
    <w:p w:rsidR="00AA74C8" w:rsidRPr="00513275" w:rsidRDefault="00AA74C8" w:rsidP="00555FF5">
      <w:pPr>
        <w:jc w:val="both"/>
        <w:divId w:val="781458629"/>
        <w:rPr>
          <w:rFonts w:ascii="Arial" w:hAnsi="Arial" w:cs="Arial"/>
          <w:sz w:val="20"/>
          <w:lang w:val="en-US"/>
        </w:rPr>
      </w:pPr>
    </w:p>
    <w:p w:rsidR="00AA74C8" w:rsidRPr="00513275" w:rsidRDefault="00AA74C8" w:rsidP="00555FF5">
      <w:pPr>
        <w:divId w:val="781458629"/>
        <w:rPr>
          <w:rFonts w:ascii="Arial" w:hAnsi="Arial" w:cs="Arial"/>
          <w:sz w:val="20"/>
          <w:lang w:val="en-US"/>
        </w:rPr>
      </w:pPr>
    </w:p>
    <w:p w:rsidR="00555FF5" w:rsidRPr="00513275" w:rsidRDefault="00555FF5" w:rsidP="00555FF5">
      <w:pPr>
        <w:pStyle w:val="Pieddepage"/>
        <w:spacing w:before="120"/>
        <w:divId w:val="781458629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Press contact</w:t>
      </w:r>
      <w:r w:rsidRPr="00513275">
        <w:rPr>
          <w:rFonts w:ascii="Arial" w:hAnsi="Arial" w:cs="Arial"/>
          <w:b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>Renault Press</w:t>
      </w:r>
      <w:r w:rsidRPr="00513275">
        <w:rPr>
          <w:rFonts w:ascii="Arial" w:hAnsi="Arial" w:cs="Arial"/>
          <w:sz w:val="18"/>
          <w:szCs w:val="18"/>
          <w:lang w:val="en-US"/>
        </w:rPr>
        <w:t xml:space="preserve">, Hélène </w:t>
      </w:r>
      <w:proofErr w:type="spellStart"/>
      <w:r w:rsidRPr="00513275">
        <w:rPr>
          <w:rFonts w:ascii="Arial" w:hAnsi="Arial" w:cs="Arial"/>
          <w:sz w:val="18"/>
          <w:szCs w:val="18"/>
          <w:lang w:val="en-US"/>
        </w:rPr>
        <w:t>Mazier</w:t>
      </w:r>
      <w:proofErr w:type="spellEnd"/>
      <w:r w:rsidRPr="00513275">
        <w:rPr>
          <w:rFonts w:ascii="Arial" w:hAnsi="Arial" w:cs="Arial"/>
          <w:sz w:val="18"/>
          <w:szCs w:val="18"/>
          <w:lang w:val="en-US"/>
        </w:rPr>
        <w:t xml:space="preserve"> +33 (0)1 76 84 39 59</w:t>
      </w:r>
    </w:p>
    <w:p w:rsidR="00555FF5" w:rsidRDefault="00555FF5" w:rsidP="00555FF5">
      <w:pPr>
        <w:pStyle w:val="Pieddepage"/>
        <w:divId w:val="781458629"/>
        <w:rPr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Websites</w:t>
      </w:r>
      <w:r w:rsidRPr="00513275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11" w:history="1">
        <w:r w:rsidRPr="00513275">
          <w:rPr>
            <w:rStyle w:val="Lienhypertexte"/>
            <w:rFonts w:ascii="Arial" w:hAnsi="Arial" w:cs="Arial"/>
            <w:sz w:val="18"/>
            <w:szCs w:val="18"/>
            <w:lang w:val="en-US"/>
          </w:rPr>
          <w:t>www.media.renault.com</w:t>
        </w:r>
      </w:hyperlink>
      <w:r w:rsidRPr="00513275">
        <w:rPr>
          <w:rFonts w:ascii="Arial" w:hAnsi="Arial" w:cs="Arial"/>
          <w:sz w:val="18"/>
          <w:szCs w:val="18"/>
          <w:lang w:val="en-US"/>
        </w:rPr>
        <w:t xml:space="preserve"> – </w:t>
      </w:r>
      <w:hyperlink r:id="rId12" w:history="1">
        <w:r w:rsidRPr="00704578">
          <w:rPr>
            <w:rStyle w:val="Lienhypertexte"/>
            <w:rFonts w:ascii="Arial" w:hAnsi="Arial" w:cs="Arial"/>
            <w:sz w:val="18"/>
            <w:szCs w:val="18"/>
            <w:lang w:val="en-US"/>
          </w:rPr>
          <w:t>www.group.renault.com</w:t>
        </w:r>
      </w:hyperlink>
    </w:p>
    <w:p w:rsidR="00227925" w:rsidRPr="00D87275" w:rsidRDefault="00227925">
      <w:pPr>
        <w:divId w:val="781458629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sectPr w:rsidR="00227925" w:rsidRPr="00D87275" w:rsidSect="00ED6132">
      <w:pgSz w:w="12240" w:h="15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DD" w:rsidRDefault="007D7BDD" w:rsidP="00E96270">
      <w:r>
        <w:separator/>
      </w:r>
    </w:p>
  </w:endnote>
  <w:endnote w:type="continuationSeparator" w:id="0">
    <w:p w:rsidR="007D7BDD" w:rsidRDefault="007D7BDD" w:rsidP="00E9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DD" w:rsidRDefault="007D7BDD" w:rsidP="00E96270">
      <w:r>
        <w:separator/>
      </w:r>
    </w:p>
  </w:footnote>
  <w:footnote w:type="continuationSeparator" w:id="0">
    <w:p w:rsidR="007D7BDD" w:rsidRDefault="007D7BDD" w:rsidP="00E96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A5A"/>
    <w:multiLevelType w:val="multilevel"/>
    <w:tmpl w:val="E9B2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A270F5"/>
    <w:multiLevelType w:val="hybridMultilevel"/>
    <w:tmpl w:val="68D088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CC50A9"/>
    <w:multiLevelType w:val="multilevel"/>
    <w:tmpl w:val="3E30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8238D"/>
    <w:multiLevelType w:val="hybridMultilevel"/>
    <w:tmpl w:val="01C0864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DB048D0"/>
    <w:multiLevelType w:val="hybridMultilevel"/>
    <w:tmpl w:val="3DA2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D1140"/>
    <w:multiLevelType w:val="hybridMultilevel"/>
    <w:tmpl w:val="12CC9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67"/>
    <w:rsid w:val="00002867"/>
    <w:rsid w:val="00020D60"/>
    <w:rsid w:val="0002262F"/>
    <w:rsid w:val="00027DFC"/>
    <w:rsid w:val="0004519A"/>
    <w:rsid w:val="00093F9F"/>
    <w:rsid w:val="000B5FD6"/>
    <w:rsid w:val="000E6F5B"/>
    <w:rsid w:val="000F1E82"/>
    <w:rsid w:val="000F2555"/>
    <w:rsid w:val="0014510C"/>
    <w:rsid w:val="0016769B"/>
    <w:rsid w:val="001B37FD"/>
    <w:rsid w:val="001C7260"/>
    <w:rsid w:val="001F4611"/>
    <w:rsid w:val="00205042"/>
    <w:rsid w:val="002124BA"/>
    <w:rsid w:val="00225F65"/>
    <w:rsid w:val="00227925"/>
    <w:rsid w:val="0023256A"/>
    <w:rsid w:val="00240063"/>
    <w:rsid w:val="00240EE1"/>
    <w:rsid w:val="002439F3"/>
    <w:rsid w:val="00244AB2"/>
    <w:rsid w:val="002537EB"/>
    <w:rsid w:val="00256D49"/>
    <w:rsid w:val="00272865"/>
    <w:rsid w:val="00276AFD"/>
    <w:rsid w:val="00282A60"/>
    <w:rsid w:val="00283E15"/>
    <w:rsid w:val="002A211E"/>
    <w:rsid w:val="002A50F9"/>
    <w:rsid w:val="002A5C14"/>
    <w:rsid w:val="002C49F4"/>
    <w:rsid w:val="002D2538"/>
    <w:rsid w:val="002D2979"/>
    <w:rsid w:val="002F4547"/>
    <w:rsid w:val="00316CB6"/>
    <w:rsid w:val="00347505"/>
    <w:rsid w:val="00360D59"/>
    <w:rsid w:val="00366C5D"/>
    <w:rsid w:val="003958B0"/>
    <w:rsid w:val="00395C62"/>
    <w:rsid w:val="003E2D1C"/>
    <w:rsid w:val="003F2B17"/>
    <w:rsid w:val="004070E1"/>
    <w:rsid w:val="00410A19"/>
    <w:rsid w:val="004134F2"/>
    <w:rsid w:val="0045129C"/>
    <w:rsid w:val="00490FE5"/>
    <w:rsid w:val="00493308"/>
    <w:rsid w:val="004A3CA7"/>
    <w:rsid w:val="004A4010"/>
    <w:rsid w:val="004B1ADF"/>
    <w:rsid w:val="004F25AD"/>
    <w:rsid w:val="00501A5F"/>
    <w:rsid w:val="00503B57"/>
    <w:rsid w:val="005077D6"/>
    <w:rsid w:val="005208CD"/>
    <w:rsid w:val="005365EC"/>
    <w:rsid w:val="005374F5"/>
    <w:rsid w:val="00554A34"/>
    <w:rsid w:val="00555FF5"/>
    <w:rsid w:val="005562F4"/>
    <w:rsid w:val="005600D8"/>
    <w:rsid w:val="00571B65"/>
    <w:rsid w:val="005A44BE"/>
    <w:rsid w:val="005B1C33"/>
    <w:rsid w:val="005D1948"/>
    <w:rsid w:val="005E4EE1"/>
    <w:rsid w:val="005E7C8A"/>
    <w:rsid w:val="005F54D2"/>
    <w:rsid w:val="005F5CE8"/>
    <w:rsid w:val="005F6B54"/>
    <w:rsid w:val="0066094C"/>
    <w:rsid w:val="0066271C"/>
    <w:rsid w:val="006641E3"/>
    <w:rsid w:val="00666FA2"/>
    <w:rsid w:val="006751F2"/>
    <w:rsid w:val="00675C4A"/>
    <w:rsid w:val="00684941"/>
    <w:rsid w:val="00687FA8"/>
    <w:rsid w:val="006A5E54"/>
    <w:rsid w:val="006B74A7"/>
    <w:rsid w:val="006D37BD"/>
    <w:rsid w:val="006F433F"/>
    <w:rsid w:val="006F7690"/>
    <w:rsid w:val="00711C86"/>
    <w:rsid w:val="00713866"/>
    <w:rsid w:val="00734DB7"/>
    <w:rsid w:val="00745B31"/>
    <w:rsid w:val="007A508C"/>
    <w:rsid w:val="007C6298"/>
    <w:rsid w:val="007D7AD2"/>
    <w:rsid w:val="007D7BDD"/>
    <w:rsid w:val="008145F1"/>
    <w:rsid w:val="00815D7C"/>
    <w:rsid w:val="00834D0B"/>
    <w:rsid w:val="00842061"/>
    <w:rsid w:val="008530C8"/>
    <w:rsid w:val="00885A93"/>
    <w:rsid w:val="0089403C"/>
    <w:rsid w:val="0089776B"/>
    <w:rsid w:val="008D35EC"/>
    <w:rsid w:val="009123D8"/>
    <w:rsid w:val="00922B1D"/>
    <w:rsid w:val="00941DE0"/>
    <w:rsid w:val="00946588"/>
    <w:rsid w:val="00972C84"/>
    <w:rsid w:val="00975B98"/>
    <w:rsid w:val="00980ED2"/>
    <w:rsid w:val="009A2BFD"/>
    <w:rsid w:val="009A72D6"/>
    <w:rsid w:val="009D2BEF"/>
    <w:rsid w:val="009D5B25"/>
    <w:rsid w:val="009E6CAD"/>
    <w:rsid w:val="00A033E3"/>
    <w:rsid w:val="00A070C7"/>
    <w:rsid w:val="00A275E2"/>
    <w:rsid w:val="00A31320"/>
    <w:rsid w:val="00A32DB6"/>
    <w:rsid w:val="00A41A61"/>
    <w:rsid w:val="00A74E1A"/>
    <w:rsid w:val="00AA74C8"/>
    <w:rsid w:val="00AB5639"/>
    <w:rsid w:val="00AB5C7F"/>
    <w:rsid w:val="00AD39B5"/>
    <w:rsid w:val="00AD75B2"/>
    <w:rsid w:val="00AD7B7B"/>
    <w:rsid w:val="00B0706A"/>
    <w:rsid w:val="00B10F2B"/>
    <w:rsid w:val="00B22813"/>
    <w:rsid w:val="00B31756"/>
    <w:rsid w:val="00B713BE"/>
    <w:rsid w:val="00B7221D"/>
    <w:rsid w:val="00B77F53"/>
    <w:rsid w:val="00BB6325"/>
    <w:rsid w:val="00BD0EDB"/>
    <w:rsid w:val="00C137F0"/>
    <w:rsid w:val="00C261B7"/>
    <w:rsid w:val="00C30D29"/>
    <w:rsid w:val="00C4762A"/>
    <w:rsid w:val="00C5631E"/>
    <w:rsid w:val="00C61A3B"/>
    <w:rsid w:val="00C662F7"/>
    <w:rsid w:val="00C704A3"/>
    <w:rsid w:val="00C76EFA"/>
    <w:rsid w:val="00CB4895"/>
    <w:rsid w:val="00CB6DFF"/>
    <w:rsid w:val="00CD1D85"/>
    <w:rsid w:val="00CD7199"/>
    <w:rsid w:val="00CD7C2F"/>
    <w:rsid w:val="00CE7E12"/>
    <w:rsid w:val="00CF79F7"/>
    <w:rsid w:val="00D03683"/>
    <w:rsid w:val="00D22E23"/>
    <w:rsid w:val="00D349B6"/>
    <w:rsid w:val="00D51C45"/>
    <w:rsid w:val="00D6155C"/>
    <w:rsid w:val="00D87275"/>
    <w:rsid w:val="00DB3236"/>
    <w:rsid w:val="00DB75D0"/>
    <w:rsid w:val="00DC6E5C"/>
    <w:rsid w:val="00DD3F7E"/>
    <w:rsid w:val="00E01ACF"/>
    <w:rsid w:val="00E23360"/>
    <w:rsid w:val="00E34D25"/>
    <w:rsid w:val="00E360AE"/>
    <w:rsid w:val="00E536B1"/>
    <w:rsid w:val="00E96270"/>
    <w:rsid w:val="00EA2C8A"/>
    <w:rsid w:val="00EA4352"/>
    <w:rsid w:val="00EB3D82"/>
    <w:rsid w:val="00ED6132"/>
    <w:rsid w:val="00EF74A8"/>
    <w:rsid w:val="00F00B44"/>
    <w:rsid w:val="00F11961"/>
    <w:rsid w:val="00F2119E"/>
    <w:rsid w:val="00F26D10"/>
    <w:rsid w:val="00F34F5A"/>
    <w:rsid w:val="00F5090E"/>
    <w:rsid w:val="00F50E5F"/>
    <w:rsid w:val="00F57B59"/>
    <w:rsid w:val="00F720ED"/>
    <w:rsid w:val="00F83337"/>
    <w:rsid w:val="00F843CF"/>
    <w:rsid w:val="00F863EC"/>
    <w:rsid w:val="00FD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000000"/>
      <w:kern w:val="36"/>
      <w:sz w:val="36"/>
      <w:szCs w:val="36"/>
    </w:rPr>
  </w:style>
  <w:style w:type="paragraph" w:styleId="Titre8">
    <w:name w:val="heading 8"/>
    <w:basedOn w:val="Normal"/>
    <w:next w:val="Normal"/>
    <w:link w:val="Titre8Car"/>
    <w:qFormat/>
    <w:rsid w:val="004134F2"/>
    <w:pPr>
      <w:spacing w:before="240" w:after="60"/>
      <w:outlineLvl w:val="7"/>
    </w:pPr>
    <w:rPr>
      <w:rFonts w:eastAsia="Times"/>
      <w:i/>
      <w:i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releasebody">
    <w:name w:val="releasebody"/>
    <w:basedOn w:val="Normal"/>
    <w:uiPriority w:val="99"/>
    <w:pPr>
      <w:spacing w:before="100" w:beforeAutospacing="1" w:after="100" w:afterAutospacing="1"/>
      <w:jc w:val="both"/>
    </w:pPr>
  </w:style>
  <w:style w:type="paragraph" w:customStyle="1" w:styleId="releasedate">
    <w:name w:val="releasedate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releasetitle">
    <w:name w:val="releasetitl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22"/>
      <w:szCs w:val="22"/>
    </w:rPr>
  </w:style>
  <w:style w:type="paragraph" w:customStyle="1" w:styleId="lineborder">
    <w:name w:val="lineborder"/>
    <w:basedOn w:val="Normal"/>
    <w:uiPriority w:val="99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contactarea">
    <w:name w:val="contactarea"/>
    <w:basedOn w:val="Normal"/>
    <w:uiPriority w:val="99"/>
    <w:pPr>
      <w:spacing w:before="600" w:after="100" w:afterAutospacing="1"/>
    </w:pPr>
    <w:rPr>
      <w:rFonts w:ascii="Arial" w:hAnsi="Arial" w:cs="Arial"/>
      <w:sz w:val="18"/>
      <w:szCs w:val="18"/>
    </w:rPr>
  </w:style>
  <w:style w:type="paragraph" w:customStyle="1" w:styleId="contactinfo">
    <w:name w:val="contactinfo"/>
    <w:basedOn w:val="Normal"/>
    <w:uiPriority w:val="99"/>
    <w:pPr>
      <w:spacing w:before="150" w:after="100" w:afterAutospacing="1"/>
    </w:pPr>
  </w:style>
  <w:style w:type="paragraph" w:customStyle="1" w:styleId="introduction">
    <w:name w:val="introduction"/>
    <w:basedOn w:val="Normal"/>
    <w:uiPriority w:val="99"/>
    <w:pPr>
      <w:spacing w:before="225" w:after="225"/>
    </w:pPr>
    <w:rPr>
      <w:b/>
      <w:bCs/>
    </w:rPr>
  </w:style>
  <w:style w:type="paragraph" w:customStyle="1" w:styleId="Sous-titre1">
    <w:name w:val="Sous-titre1"/>
    <w:basedOn w:val="Normal"/>
    <w:uiPriority w:val="99"/>
    <w:pPr>
      <w:spacing w:before="225" w:after="225"/>
    </w:pPr>
    <w:rPr>
      <w:rFonts w:ascii="Arial" w:hAnsi="Arial" w:cs="Arial"/>
      <w:b/>
      <w:bCs/>
    </w:rPr>
  </w:style>
  <w:style w:type="paragraph" w:customStyle="1" w:styleId="Lgende1">
    <w:name w:val="Légende1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i/>
      <w:iCs/>
      <w:sz w:val="17"/>
      <w:szCs w:val="17"/>
    </w:rPr>
  </w:style>
  <w:style w:type="character" w:customStyle="1" w:styleId="releasetitle1">
    <w:name w:val="releasetitle1"/>
    <w:basedOn w:val="Policepardfaut"/>
    <w:rPr>
      <w:rFonts w:ascii="Arial" w:hAnsi="Arial" w:cs="Arial" w:hint="default"/>
      <w:b/>
      <w:bCs/>
      <w:caps/>
      <w:sz w:val="22"/>
      <w:szCs w:val="22"/>
    </w:rPr>
  </w:style>
  <w:style w:type="character" w:customStyle="1" w:styleId="releasedate1">
    <w:name w:val="releasedate1"/>
    <w:basedOn w:val="Policepardfaut"/>
    <w:rPr>
      <w:rFonts w:ascii="Arial" w:hAnsi="Arial" w:cs="Arial" w:hint="default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Paragraphedeliste">
    <w:name w:val="List Paragraph"/>
    <w:basedOn w:val="Normal"/>
    <w:uiPriority w:val="99"/>
    <w:qFormat/>
    <w:rsid w:val="00972C84"/>
    <w:pPr>
      <w:ind w:left="720"/>
      <w:contextualSpacing/>
    </w:pPr>
    <w:rPr>
      <w:rFonts w:eastAsia="MS Mincho"/>
      <w:lang w:val="en-US" w:eastAsia="ja-JP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9627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96270"/>
    <w:rPr>
      <w:rFonts w:eastAsiaTheme="minorEastAsia"/>
    </w:rPr>
  </w:style>
  <w:style w:type="character" w:styleId="Appeldenotedefin">
    <w:name w:val="endnote reference"/>
    <w:basedOn w:val="Policepardfaut"/>
    <w:uiPriority w:val="99"/>
    <w:semiHidden/>
    <w:unhideWhenUsed/>
    <w:rsid w:val="00E96270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E9627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6270"/>
    <w:rPr>
      <w:rFonts w:eastAsiaTheme="minorEastAsia"/>
    </w:rPr>
  </w:style>
  <w:style w:type="character" w:styleId="Appelnotedebasdep">
    <w:name w:val="footnote reference"/>
    <w:basedOn w:val="Policepardfaut"/>
    <w:semiHidden/>
    <w:unhideWhenUsed/>
    <w:rsid w:val="00E96270"/>
    <w:rPr>
      <w:vertAlign w:val="superscript"/>
    </w:rPr>
  </w:style>
  <w:style w:type="character" w:customStyle="1" w:styleId="Titre8Car">
    <w:name w:val="Titre 8 Car"/>
    <w:basedOn w:val="Policepardfaut"/>
    <w:link w:val="Titre8"/>
    <w:rsid w:val="004134F2"/>
    <w:rPr>
      <w:rFonts w:eastAsia="Times"/>
      <w:i/>
      <w:iCs/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AA74C8"/>
    <w:pPr>
      <w:tabs>
        <w:tab w:val="center" w:pos="4536"/>
        <w:tab w:val="right" w:pos="9072"/>
      </w:tabs>
    </w:pPr>
    <w:rPr>
      <w:rFonts w:ascii="Times" w:eastAsia="Times New Roman" w:hAnsi="Times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rsid w:val="00AA74C8"/>
    <w:rPr>
      <w:rFonts w:ascii="Times" w:hAnsi="Times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000000"/>
      <w:kern w:val="36"/>
      <w:sz w:val="36"/>
      <w:szCs w:val="36"/>
    </w:rPr>
  </w:style>
  <w:style w:type="paragraph" w:styleId="Titre8">
    <w:name w:val="heading 8"/>
    <w:basedOn w:val="Normal"/>
    <w:next w:val="Normal"/>
    <w:link w:val="Titre8Car"/>
    <w:qFormat/>
    <w:rsid w:val="004134F2"/>
    <w:pPr>
      <w:spacing w:before="240" w:after="60"/>
      <w:outlineLvl w:val="7"/>
    </w:pPr>
    <w:rPr>
      <w:rFonts w:eastAsia="Times"/>
      <w:i/>
      <w:i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releasebody">
    <w:name w:val="releasebody"/>
    <w:basedOn w:val="Normal"/>
    <w:uiPriority w:val="99"/>
    <w:pPr>
      <w:spacing w:before="100" w:beforeAutospacing="1" w:after="100" w:afterAutospacing="1"/>
      <w:jc w:val="both"/>
    </w:pPr>
  </w:style>
  <w:style w:type="paragraph" w:customStyle="1" w:styleId="releasedate">
    <w:name w:val="releasedate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releasetitle">
    <w:name w:val="releasetitl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22"/>
      <w:szCs w:val="22"/>
    </w:rPr>
  </w:style>
  <w:style w:type="paragraph" w:customStyle="1" w:styleId="lineborder">
    <w:name w:val="lineborder"/>
    <w:basedOn w:val="Normal"/>
    <w:uiPriority w:val="99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contactarea">
    <w:name w:val="contactarea"/>
    <w:basedOn w:val="Normal"/>
    <w:uiPriority w:val="99"/>
    <w:pPr>
      <w:spacing w:before="600" w:after="100" w:afterAutospacing="1"/>
    </w:pPr>
    <w:rPr>
      <w:rFonts w:ascii="Arial" w:hAnsi="Arial" w:cs="Arial"/>
      <w:sz w:val="18"/>
      <w:szCs w:val="18"/>
    </w:rPr>
  </w:style>
  <w:style w:type="paragraph" w:customStyle="1" w:styleId="contactinfo">
    <w:name w:val="contactinfo"/>
    <w:basedOn w:val="Normal"/>
    <w:uiPriority w:val="99"/>
    <w:pPr>
      <w:spacing w:before="150" w:after="100" w:afterAutospacing="1"/>
    </w:pPr>
  </w:style>
  <w:style w:type="paragraph" w:customStyle="1" w:styleId="introduction">
    <w:name w:val="introduction"/>
    <w:basedOn w:val="Normal"/>
    <w:uiPriority w:val="99"/>
    <w:pPr>
      <w:spacing w:before="225" w:after="225"/>
    </w:pPr>
    <w:rPr>
      <w:b/>
      <w:bCs/>
    </w:rPr>
  </w:style>
  <w:style w:type="paragraph" w:customStyle="1" w:styleId="Sous-titre1">
    <w:name w:val="Sous-titre1"/>
    <w:basedOn w:val="Normal"/>
    <w:uiPriority w:val="99"/>
    <w:pPr>
      <w:spacing w:before="225" w:after="225"/>
    </w:pPr>
    <w:rPr>
      <w:rFonts w:ascii="Arial" w:hAnsi="Arial" w:cs="Arial"/>
      <w:b/>
      <w:bCs/>
    </w:rPr>
  </w:style>
  <w:style w:type="paragraph" w:customStyle="1" w:styleId="Lgende1">
    <w:name w:val="Légende1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i/>
      <w:iCs/>
      <w:sz w:val="17"/>
      <w:szCs w:val="17"/>
    </w:rPr>
  </w:style>
  <w:style w:type="character" w:customStyle="1" w:styleId="releasetitle1">
    <w:name w:val="releasetitle1"/>
    <w:basedOn w:val="Policepardfaut"/>
    <w:rPr>
      <w:rFonts w:ascii="Arial" w:hAnsi="Arial" w:cs="Arial" w:hint="default"/>
      <w:b/>
      <w:bCs/>
      <w:caps/>
      <w:sz w:val="22"/>
      <w:szCs w:val="22"/>
    </w:rPr>
  </w:style>
  <w:style w:type="character" w:customStyle="1" w:styleId="releasedate1">
    <w:name w:val="releasedate1"/>
    <w:basedOn w:val="Policepardfaut"/>
    <w:rPr>
      <w:rFonts w:ascii="Arial" w:hAnsi="Arial" w:cs="Arial" w:hint="default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Paragraphedeliste">
    <w:name w:val="List Paragraph"/>
    <w:basedOn w:val="Normal"/>
    <w:uiPriority w:val="99"/>
    <w:qFormat/>
    <w:rsid w:val="00972C84"/>
    <w:pPr>
      <w:ind w:left="720"/>
      <w:contextualSpacing/>
    </w:pPr>
    <w:rPr>
      <w:rFonts w:eastAsia="MS Mincho"/>
      <w:lang w:val="en-US" w:eastAsia="ja-JP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9627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96270"/>
    <w:rPr>
      <w:rFonts w:eastAsiaTheme="minorEastAsia"/>
    </w:rPr>
  </w:style>
  <w:style w:type="character" w:styleId="Appeldenotedefin">
    <w:name w:val="endnote reference"/>
    <w:basedOn w:val="Policepardfaut"/>
    <w:uiPriority w:val="99"/>
    <w:semiHidden/>
    <w:unhideWhenUsed/>
    <w:rsid w:val="00E96270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E9627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6270"/>
    <w:rPr>
      <w:rFonts w:eastAsiaTheme="minorEastAsia"/>
    </w:rPr>
  </w:style>
  <w:style w:type="character" w:styleId="Appelnotedebasdep">
    <w:name w:val="footnote reference"/>
    <w:basedOn w:val="Policepardfaut"/>
    <w:semiHidden/>
    <w:unhideWhenUsed/>
    <w:rsid w:val="00E96270"/>
    <w:rPr>
      <w:vertAlign w:val="superscript"/>
    </w:rPr>
  </w:style>
  <w:style w:type="character" w:customStyle="1" w:styleId="Titre8Car">
    <w:name w:val="Titre 8 Car"/>
    <w:basedOn w:val="Policepardfaut"/>
    <w:link w:val="Titre8"/>
    <w:rsid w:val="004134F2"/>
    <w:rPr>
      <w:rFonts w:eastAsia="Times"/>
      <w:i/>
      <w:iCs/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AA74C8"/>
    <w:pPr>
      <w:tabs>
        <w:tab w:val="center" w:pos="4536"/>
        <w:tab w:val="right" w:pos="9072"/>
      </w:tabs>
    </w:pPr>
    <w:rPr>
      <w:rFonts w:ascii="Times" w:eastAsia="Times New Roman" w:hAnsi="Times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rsid w:val="00AA74C8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3903">
      <w:marLeft w:val="1021"/>
      <w:marRight w:val="1021"/>
      <w:marTop w:val="6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3574">
          <w:marLeft w:val="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400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oup.renaul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a.renault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nault.com/" TargetMode="External"/><Relationship Id="rId4" Type="http://schemas.microsoft.com/office/2007/relationships/stylesWithEffects" Target="stylesWithEffects.xml"/><Relationship Id="rId9" Type="http://schemas.openxmlformats.org/officeDocument/2006/relationships/image" Target="http://media.renault.com/images/generic/header/Renault_PressReleaseHeader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E184-C61E-491E-8C74-2FCD03EA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726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media.renault.com - Quarterly information at September 30, 2013</vt:lpstr>
      <vt:lpstr>media.renault.com - Information trimestrielle au 30 septembre 2013</vt:lpstr>
    </vt:vector>
  </TitlesOfParts>
  <Company>ALLIANCE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media.renault.com - Quarterly information at September 30, 2013</dc:title>
  <dc:creator>LE-CLERRE Aurelie</dc:creator>
  <cp:lastModifiedBy>BOUMENDJEL Hacene</cp:lastModifiedBy>
  <cp:revision>5</cp:revision>
  <cp:lastPrinted>2015-02-11T17:42:00Z</cp:lastPrinted>
  <dcterms:created xsi:type="dcterms:W3CDTF">2015-02-11T16:18:00Z</dcterms:created>
  <dcterms:modified xsi:type="dcterms:W3CDTF">2015-02-11T17:52:00Z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-365795330</vt:i4>
  </property>
  <property fmtid="{D5CDD505-2E9C-101B-9397-08002B2CF9AE}" pid="3" name="_NewReviewCycle">
    <vt:lpwstr/>
  </property>
  <property fmtid="{D5CDD505-2E9C-101B-9397-08002B2CF9AE}" pid="4" name="_EmailSubject">
    <vt:lpwstr>ROV - PRESS RELEASE: 2014 FINANCIAL RESULTS</vt:lpwstr>
  </property>
  <property fmtid="{D5CDD505-2E9C-101B-9397-08002B2CF9AE}" pid="5" name="_AuthorEmail">
    <vt:lpwstr>onevoice@renault.com</vt:lpwstr>
  </property>
  <property fmtid="{D5CDD505-2E9C-101B-9397-08002B2CF9AE}" pid="6" name="_AuthorEmailDisplayName">
    <vt:lpwstr>ONEVOICE</vt:lpwstr>
  </property>
  <property fmtid="{D5CDD505-2E9C-101B-9397-08002B2CF9AE}" pid="8" name="_PreviousAdHocReviewCycleID">
    <vt:i4>-811280445</vt:i4>
  </property>
</Properties>
</file>